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9752" w14:textId="77777777" w:rsidR="00D66C03" w:rsidRPr="00732EC9" w:rsidRDefault="00D66C03" w:rsidP="002D34FC">
      <w:pPr>
        <w:tabs>
          <w:tab w:val="left" w:pos="567"/>
        </w:tabs>
        <w:ind w:right="-1"/>
        <w:jc w:val="center"/>
        <w:rPr>
          <w:rFonts w:ascii="Arial" w:hAnsi="Arial" w:cs="Arial"/>
          <w:b/>
          <w:bCs/>
        </w:rPr>
      </w:pPr>
      <w:r>
        <w:rPr>
          <w:rFonts w:ascii="Arial" w:hAnsi="Arial" w:cs="Arial"/>
          <w:b/>
          <w:bCs/>
        </w:rPr>
        <w:t>TERMO DE REFERÊ</w:t>
      </w:r>
      <w:r w:rsidRPr="00732EC9">
        <w:rPr>
          <w:rFonts w:ascii="Arial" w:hAnsi="Arial" w:cs="Arial"/>
          <w:b/>
          <w:bCs/>
        </w:rPr>
        <w:t>NCIA</w:t>
      </w:r>
    </w:p>
    <w:p w14:paraId="2472C589" w14:textId="77777777" w:rsidR="00D66C03" w:rsidRPr="00732EC9" w:rsidRDefault="00D66C03" w:rsidP="002D34FC">
      <w:pPr>
        <w:tabs>
          <w:tab w:val="left" w:pos="567"/>
        </w:tabs>
        <w:ind w:right="-1"/>
        <w:rPr>
          <w:rFonts w:ascii="Arial" w:hAnsi="Arial" w:cs="Arial"/>
        </w:rPr>
      </w:pPr>
    </w:p>
    <w:p w14:paraId="6210DAB5" w14:textId="77777777" w:rsidR="00D66C03" w:rsidRPr="00732EC9" w:rsidRDefault="00D66C03" w:rsidP="002D34FC">
      <w:pPr>
        <w:pStyle w:val="Nivel01"/>
        <w:numPr>
          <w:ilvl w:val="0"/>
          <w:numId w:val="2"/>
        </w:numPr>
        <w:spacing w:before="0"/>
        <w:ind w:left="0" w:right="-1" w:firstLine="0"/>
        <w:jc w:val="left"/>
        <w:rPr>
          <w:sz w:val="24"/>
          <w:szCs w:val="24"/>
        </w:rPr>
      </w:pPr>
      <w:bookmarkStart w:id="0" w:name="_Toc147911325"/>
      <w:bookmarkStart w:id="1" w:name="_Hlk82471863"/>
      <w:r w:rsidRPr="00732EC9">
        <w:rPr>
          <w:sz w:val="24"/>
          <w:szCs w:val="24"/>
        </w:rPr>
        <w:t>CONDIÇÕES GERAIS DA CONTRATAÇÃO</w:t>
      </w:r>
      <w:bookmarkEnd w:id="0"/>
    </w:p>
    <w:p w14:paraId="3BA3333C" w14:textId="77777777" w:rsidR="00D66C03" w:rsidRPr="00732EC9" w:rsidRDefault="00D66C03" w:rsidP="002D34FC">
      <w:pPr>
        <w:ind w:right="-1"/>
        <w:rPr>
          <w:rFonts w:ascii="Arial" w:hAnsi="Arial" w:cs="Arial"/>
        </w:rPr>
      </w:pPr>
    </w:p>
    <w:p w14:paraId="7EF16AB2" w14:textId="77777777" w:rsidR="00D66C03" w:rsidRDefault="005044EF" w:rsidP="001D1367">
      <w:pPr>
        <w:pStyle w:val="Nivel2"/>
        <w:spacing w:before="0" w:after="0" w:line="240" w:lineRule="auto"/>
        <w:ind w:left="0" w:right="-1" w:firstLine="0"/>
        <w:rPr>
          <w:b/>
          <w:bCs/>
          <w:sz w:val="24"/>
          <w:szCs w:val="24"/>
        </w:rPr>
      </w:pPr>
      <w:r w:rsidRPr="005044EF">
        <w:rPr>
          <w:sz w:val="24"/>
          <w:szCs w:val="24"/>
        </w:rPr>
        <w:t xml:space="preserve">Aquisição de móveis sob medida, para instalação na Unidade Básica de Saúde do Bairro </w:t>
      </w:r>
      <w:r w:rsidRPr="005044EF">
        <w:rPr>
          <w:color w:val="auto"/>
          <w:sz w:val="24"/>
          <w:szCs w:val="24"/>
        </w:rPr>
        <w:t>Capistrano,</w:t>
      </w:r>
      <w:r>
        <w:rPr>
          <w:color w:val="FF0000"/>
          <w:sz w:val="24"/>
          <w:szCs w:val="24"/>
        </w:rPr>
        <w:t xml:space="preserve"> </w:t>
      </w:r>
      <w:r w:rsidR="00D66C03" w:rsidRPr="00732EC9">
        <w:rPr>
          <w:sz w:val="24"/>
          <w:szCs w:val="24"/>
        </w:rPr>
        <w:t>nos termos da tabela abaixo, conforme condições e exigências estabelecidas neste instrumento.</w:t>
      </w:r>
    </w:p>
    <w:p w14:paraId="0E973012" w14:textId="77777777" w:rsidR="001D1367" w:rsidRPr="001D1367" w:rsidRDefault="001D1367" w:rsidP="001D1367">
      <w:pPr>
        <w:pStyle w:val="Nivel2"/>
        <w:numPr>
          <w:ilvl w:val="0"/>
          <w:numId w:val="0"/>
        </w:numPr>
        <w:spacing w:before="0" w:after="0" w:line="240" w:lineRule="auto"/>
        <w:ind w:right="-1"/>
        <w:rPr>
          <w:b/>
          <w:bCs/>
          <w:sz w:val="24"/>
          <w:szCs w:val="24"/>
        </w:rPr>
      </w:pPr>
    </w:p>
    <w:tbl>
      <w:tblPr>
        <w:tblW w:w="98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080"/>
        <w:gridCol w:w="918"/>
        <w:gridCol w:w="3705"/>
        <w:gridCol w:w="1559"/>
        <w:gridCol w:w="1584"/>
      </w:tblGrid>
      <w:tr w:rsidR="001D1367" w:rsidRPr="001D1367" w14:paraId="5CDD168A" w14:textId="77777777" w:rsidTr="001D1367">
        <w:trPr>
          <w:trHeight w:val="315"/>
        </w:trPr>
        <w:tc>
          <w:tcPr>
            <w:tcW w:w="960" w:type="dxa"/>
            <w:shd w:val="clear" w:color="000000" w:fill="000000"/>
            <w:hideMark/>
          </w:tcPr>
          <w:p w14:paraId="591BCA53" w14:textId="77777777" w:rsidR="001D1367" w:rsidRPr="001D1367" w:rsidRDefault="001D1367" w:rsidP="001D1367">
            <w:pPr>
              <w:rPr>
                <w:rFonts w:ascii="Arial" w:eastAsia="Times New Roman" w:hAnsi="Arial" w:cs="Arial"/>
                <w:b/>
                <w:bCs/>
                <w:color w:val="FFFFFF"/>
              </w:rPr>
            </w:pPr>
            <w:r w:rsidRPr="001D1367">
              <w:rPr>
                <w:rFonts w:ascii="Arial" w:eastAsia="Arial" w:hAnsi="Arial" w:cs="Arial"/>
                <w:b/>
                <w:bCs/>
                <w:color w:val="FFFFFF"/>
              </w:rPr>
              <w:t>Item</w:t>
            </w:r>
          </w:p>
        </w:tc>
        <w:tc>
          <w:tcPr>
            <w:tcW w:w="1080" w:type="dxa"/>
            <w:shd w:val="clear" w:color="000000" w:fill="000000"/>
            <w:hideMark/>
          </w:tcPr>
          <w:p w14:paraId="1A2DBD4D" w14:textId="77777777" w:rsidR="001D1367" w:rsidRPr="001D1367" w:rsidRDefault="001D1367" w:rsidP="001D1367">
            <w:pPr>
              <w:rPr>
                <w:rFonts w:ascii="Arial" w:eastAsia="Times New Roman" w:hAnsi="Arial" w:cs="Arial"/>
                <w:b/>
                <w:bCs/>
                <w:color w:val="FFFFFF"/>
              </w:rPr>
            </w:pPr>
            <w:r w:rsidRPr="001D1367">
              <w:rPr>
                <w:rFonts w:ascii="Arial" w:eastAsia="Arial" w:hAnsi="Arial" w:cs="Arial"/>
                <w:b/>
                <w:bCs/>
                <w:color w:val="FFFFFF"/>
              </w:rPr>
              <w:t>Quant.</w:t>
            </w:r>
          </w:p>
        </w:tc>
        <w:tc>
          <w:tcPr>
            <w:tcW w:w="918" w:type="dxa"/>
            <w:shd w:val="clear" w:color="000000" w:fill="000000"/>
            <w:hideMark/>
          </w:tcPr>
          <w:p w14:paraId="67C40312" w14:textId="77777777" w:rsidR="001D1367" w:rsidRPr="001D1367" w:rsidRDefault="001D1367" w:rsidP="001D1367">
            <w:pPr>
              <w:rPr>
                <w:rFonts w:ascii="Arial" w:eastAsia="Times New Roman" w:hAnsi="Arial" w:cs="Arial"/>
                <w:b/>
                <w:bCs/>
                <w:color w:val="FFFFFF"/>
              </w:rPr>
            </w:pPr>
            <w:r w:rsidRPr="001D1367">
              <w:rPr>
                <w:rFonts w:ascii="Arial" w:eastAsia="Arial" w:hAnsi="Arial" w:cs="Arial"/>
                <w:b/>
                <w:bCs/>
                <w:color w:val="FFFFFF"/>
              </w:rPr>
              <w:t>Unid.</w:t>
            </w:r>
          </w:p>
        </w:tc>
        <w:tc>
          <w:tcPr>
            <w:tcW w:w="3705" w:type="dxa"/>
            <w:shd w:val="clear" w:color="000000" w:fill="000000"/>
            <w:hideMark/>
          </w:tcPr>
          <w:p w14:paraId="65B6AA0B" w14:textId="77777777" w:rsidR="001D1367" w:rsidRPr="001D1367" w:rsidRDefault="001D1367" w:rsidP="001D1367">
            <w:pPr>
              <w:rPr>
                <w:rFonts w:ascii="Arial" w:eastAsia="Times New Roman" w:hAnsi="Arial" w:cs="Arial"/>
                <w:b/>
                <w:bCs/>
                <w:color w:val="FFFFFF"/>
              </w:rPr>
            </w:pPr>
            <w:r w:rsidRPr="001D1367">
              <w:rPr>
                <w:rFonts w:ascii="Arial" w:eastAsia="Arial" w:hAnsi="Arial" w:cs="Arial"/>
                <w:b/>
                <w:bCs/>
                <w:color w:val="FFFFFF"/>
              </w:rPr>
              <w:t>Descrição</w:t>
            </w:r>
          </w:p>
        </w:tc>
        <w:tc>
          <w:tcPr>
            <w:tcW w:w="1559" w:type="dxa"/>
            <w:shd w:val="clear" w:color="000000" w:fill="000000"/>
            <w:hideMark/>
          </w:tcPr>
          <w:p w14:paraId="2BA66667" w14:textId="77777777" w:rsidR="001D1367" w:rsidRPr="001D1367" w:rsidRDefault="001D1367" w:rsidP="001D1367">
            <w:pPr>
              <w:rPr>
                <w:rFonts w:ascii="Arial" w:eastAsia="Times New Roman" w:hAnsi="Arial" w:cs="Arial"/>
                <w:b/>
                <w:bCs/>
                <w:color w:val="FFFFFF"/>
              </w:rPr>
            </w:pPr>
            <w:r w:rsidRPr="001D1367">
              <w:rPr>
                <w:rFonts w:ascii="Arial" w:eastAsia="Arial" w:hAnsi="Arial" w:cs="Arial"/>
                <w:b/>
                <w:bCs/>
                <w:color w:val="FFFFFF"/>
              </w:rPr>
              <w:t>Valor unit.</w:t>
            </w:r>
          </w:p>
        </w:tc>
        <w:tc>
          <w:tcPr>
            <w:tcW w:w="1584" w:type="dxa"/>
            <w:shd w:val="clear" w:color="000000" w:fill="000000"/>
          </w:tcPr>
          <w:p w14:paraId="29B3414E" w14:textId="77777777" w:rsidR="001D1367" w:rsidRDefault="001D1367" w:rsidP="001D1367">
            <w:pPr>
              <w:rPr>
                <w:rFonts w:ascii="Arial" w:eastAsia="Times New Roman" w:hAnsi="Arial" w:cs="Arial"/>
                <w:b/>
                <w:bCs/>
                <w:color w:val="FFFFFF"/>
              </w:rPr>
            </w:pPr>
            <w:r>
              <w:rPr>
                <w:rFonts w:ascii="Arial" w:hAnsi="Arial" w:cs="Arial"/>
                <w:b/>
                <w:bCs/>
                <w:color w:val="FFFFFF"/>
              </w:rPr>
              <w:t xml:space="preserve">Valor total </w:t>
            </w:r>
          </w:p>
        </w:tc>
      </w:tr>
      <w:tr w:rsidR="001D1367" w:rsidRPr="001D1367" w14:paraId="5FF25C76" w14:textId="77777777" w:rsidTr="001D1367">
        <w:trPr>
          <w:trHeight w:val="600"/>
        </w:trPr>
        <w:tc>
          <w:tcPr>
            <w:tcW w:w="960" w:type="dxa"/>
            <w:shd w:val="clear" w:color="auto" w:fill="auto"/>
            <w:noWrap/>
            <w:hideMark/>
          </w:tcPr>
          <w:p w14:paraId="28B697B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1080" w:type="dxa"/>
            <w:shd w:val="clear" w:color="auto" w:fill="auto"/>
            <w:noWrap/>
            <w:hideMark/>
          </w:tcPr>
          <w:p w14:paraId="7FE7B47A"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77039A76"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6049A1A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Armário aéreo para cozinha em MDF, branco, medindo 1,20x0,65x0,75cm</w:t>
            </w:r>
          </w:p>
        </w:tc>
        <w:tc>
          <w:tcPr>
            <w:tcW w:w="1559" w:type="dxa"/>
            <w:shd w:val="clear" w:color="auto" w:fill="auto"/>
            <w:noWrap/>
            <w:hideMark/>
          </w:tcPr>
          <w:p w14:paraId="03CC0041"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R$ 981,33</w:t>
            </w:r>
          </w:p>
        </w:tc>
        <w:tc>
          <w:tcPr>
            <w:tcW w:w="1584" w:type="dxa"/>
          </w:tcPr>
          <w:p w14:paraId="44327D01" w14:textId="77777777" w:rsidR="001D1367" w:rsidRDefault="001D1367" w:rsidP="001D1367">
            <w:pPr>
              <w:rPr>
                <w:rFonts w:ascii="Arial" w:hAnsi="Arial" w:cs="Arial"/>
                <w:color w:val="000000"/>
              </w:rPr>
            </w:pPr>
            <w:r>
              <w:rPr>
                <w:rFonts w:ascii="Arial" w:hAnsi="Arial" w:cs="Arial"/>
                <w:color w:val="000000"/>
              </w:rPr>
              <w:t>R$ 981,33</w:t>
            </w:r>
          </w:p>
        </w:tc>
      </w:tr>
      <w:tr w:rsidR="001D1367" w:rsidRPr="001D1367" w14:paraId="2381DD1D" w14:textId="77777777" w:rsidTr="001D1367">
        <w:trPr>
          <w:trHeight w:val="600"/>
        </w:trPr>
        <w:tc>
          <w:tcPr>
            <w:tcW w:w="960" w:type="dxa"/>
            <w:shd w:val="clear" w:color="auto" w:fill="auto"/>
            <w:noWrap/>
            <w:hideMark/>
          </w:tcPr>
          <w:p w14:paraId="6FD2178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2</w:t>
            </w:r>
          </w:p>
        </w:tc>
        <w:tc>
          <w:tcPr>
            <w:tcW w:w="1080" w:type="dxa"/>
            <w:shd w:val="clear" w:color="auto" w:fill="auto"/>
            <w:noWrap/>
            <w:hideMark/>
          </w:tcPr>
          <w:p w14:paraId="69DE3949"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4</w:t>
            </w:r>
          </w:p>
        </w:tc>
        <w:tc>
          <w:tcPr>
            <w:tcW w:w="918" w:type="dxa"/>
            <w:shd w:val="clear" w:color="auto" w:fill="auto"/>
            <w:hideMark/>
          </w:tcPr>
          <w:p w14:paraId="0D48A739"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3743F94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Armário em MDF, branco, com duas portas e prateleiras internas, medindo 0,80x2,00x4,00cm</w:t>
            </w:r>
          </w:p>
        </w:tc>
        <w:tc>
          <w:tcPr>
            <w:tcW w:w="1559" w:type="dxa"/>
            <w:shd w:val="clear" w:color="auto" w:fill="auto"/>
            <w:noWrap/>
            <w:hideMark/>
          </w:tcPr>
          <w:p w14:paraId="45BF85F1"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R$ 1.383,33</w:t>
            </w:r>
          </w:p>
        </w:tc>
        <w:tc>
          <w:tcPr>
            <w:tcW w:w="1584" w:type="dxa"/>
          </w:tcPr>
          <w:p w14:paraId="5F824444" w14:textId="6A25D21C" w:rsidR="001D1367" w:rsidRDefault="001D1367" w:rsidP="001D1367">
            <w:pPr>
              <w:rPr>
                <w:rFonts w:ascii="Arial" w:hAnsi="Arial" w:cs="Arial"/>
                <w:color w:val="000000"/>
              </w:rPr>
            </w:pPr>
            <w:r>
              <w:rPr>
                <w:rFonts w:ascii="Arial" w:hAnsi="Arial" w:cs="Arial"/>
                <w:color w:val="000000"/>
              </w:rPr>
              <w:t>R$ 5.533,3</w:t>
            </w:r>
            <w:r w:rsidR="00CD6BCD">
              <w:rPr>
                <w:rFonts w:ascii="Arial" w:hAnsi="Arial" w:cs="Arial"/>
                <w:color w:val="000000"/>
              </w:rPr>
              <w:t>2</w:t>
            </w:r>
          </w:p>
        </w:tc>
      </w:tr>
      <w:tr w:rsidR="001D1367" w:rsidRPr="001D1367" w14:paraId="76DD5AD1" w14:textId="77777777" w:rsidTr="001D1367">
        <w:trPr>
          <w:trHeight w:val="600"/>
        </w:trPr>
        <w:tc>
          <w:tcPr>
            <w:tcW w:w="960" w:type="dxa"/>
            <w:shd w:val="clear" w:color="auto" w:fill="auto"/>
            <w:hideMark/>
          </w:tcPr>
          <w:p w14:paraId="480C7767"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3</w:t>
            </w:r>
          </w:p>
        </w:tc>
        <w:tc>
          <w:tcPr>
            <w:tcW w:w="1080" w:type="dxa"/>
            <w:shd w:val="clear" w:color="auto" w:fill="auto"/>
            <w:hideMark/>
          </w:tcPr>
          <w:p w14:paraId="214D8A67" w14:textId="77777777" w:rsidR="001D1367" w:rsidRPr="001D1367" w:rsidRDefault="001D1367" w:rsidP="001D1367">
            <w:pPr>
              <w:rPr>
                <w:rFonts w:ascii="Arial" w:eastAsia="Times New Roman" w:hAnsi="Arial" w:cs="Arial"/>
                <w:color w:val="000000"/>
              </w:rPr>
            </w:pPr>
            <w:r w:rsidRPr="001D1367">
              <w:rPr>
                <w:rFonts w:ascii="Arial" w:eastAsia="Arial" w:hAnsi="Arial" w:cs="Arial"/>
                <w:color w:val="000000"/>
              </w:rPr>
              <w:t>6</w:t>
            </w:r>
          </w:p>
        </w:tc>
        <w:tc>
          <w:tcPr>
            <w:tcW w:w="918" w:type="dxa"/>
            <w:shd w:val="clear" w:color="auto" w:fill="auto"/>
            <w:hideMark/>
          </w:tcPr>
          <w:p w14:paraId="36C35F0B" w14:textId="77777777" w:rsidR="001D1367" w:rsidRPr="001D1367" w:rsidRDefault="001D1367" w:rsidP="001D1367">
            <w:pPr>
              <w:rPr>
                <w:rFonts w:ascii="Arial" w:eastAsia="Times New Roman" w:hAnsi="Arial" w:cs="Arial"/>
                <w:color w:val="000000"/>
              </w:rPr>
            </w:pPr>
            <w:r w:rsidRPr="001D1367">
              <w:rPr>
                <w:rFonts w:ascii="Arial" w:eastAsia="Arial" w:hAnsi="Arial" w:cs="Arial"/>
                <w:color w:val="000000"/>
              </w:rPr>
              <w:t>Unid.</w:t>
            </w:r>
          </w:p>
        </w:tc>
        <w:tc>
          <w:tcPr>
            <w:tcW w:w="3705" w:type="dxa"/>
            <w:shd w:val="clear" w:color="auto" w:fill="auto"/>
            <w:hideMark/>
          </w:tcPr>
          <w:p w14:paraId="002209B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Balcão de pia em MDF, branco, medindo 1,20x0,50x0,85cm</w:t>
            </w:r>
          </w:p>
        </w:tc>
        <w:tc>
          <w:tcPr>
            <w:tcW w:w="1559" w:type="dxa"/>
            <w:shd w:val="clear" w:color="auto" w:fill="auto"/>
            <w:noWrap/>
            <w:hideMark/>
          </w:tcPr>
          <w:p w14:paraId="34DC1184" w14:textId="77777777" w:rsidR="001D1367" w:rsidRPr="001D1367" w:rsidRDefault="001D1367" w:rsidP="001D1367">
            <w:pPr>
              <w:rPr>
                <w:rFonts w:ascii="Arial" w:eastAsia="Times New Roman" w:hAnsi="Arial" w:cs="Arial"/>
                <w:color w:val="000000"/>
              </w:rPr>
            </w:pPr>
            <w:r w:rsidRPr="001D1367">
              <w:rPr>
                <w:rFonts w:ascii="Arial" w:eastAsia="Arial" w:hAnsi="Arial" w:cs="Arial"/>
                <w:color w:val="000000"/>
              </w:rPr>
              <w:t>R$ 1.351,33</w:t>
            </w:r>
          </w:p>
        </w:tc>
        <w:tc>
          <w:tcPr>
            <w:tcW w:w="1584" w:type="dxa"/>
          </w:tcPr>
          <w:p w14:paraId="7998D2D6" w14:textId="30158496" w:rsidR="001D1367" w:rsidRDefault="001D1367" w:rsidP="001D1367">
            <w:pPr>
              <w:rPr>
                <w:rFonts w:ascii="Arial" w:hAnsi="Arial" w:cs="Arial"/>
                <w:color w:val="000000"/>
              </w:rPr>
            </w:pPr>
            <w:r>
              <w:rPr>
                <w:rFonts w:ascii="Arial" w:hAnsi="Arial" w:cs="Arial"/>
                <w:color w:val="000000"/>
              </w:rPr>
              <w:t>R$ 8.10</w:t>
            </w:r>
            <w:r w:rsidR="00CD6BCD">
              <w:rPr>
                <w:rFonts w:ascii="Arial" w:hAnsi="Arial" w:cs="Arial"/>
                <w:color w:val="000000"/>
              </w:rPr>
              <w:t>7</w:t>
            </w:r>
            <w:r>
              <w:rPr>
                <w:rFonts w:ascii="Arial" w:hAnsi="Arial" w:cs="Arial"/>
                <w:color w:val="000000"/>
              </w:rPr>
              <w:t>,</w:t>
            </w:r>
            <w:r w:rsidR="00CD6BCD">
              <w:rPr>
                <w:rFonts w:ascii="Arial" w:hAnsi="Arial" w:cs="Arial"/>
                <w:color w:val="000000"/>
              </w:rPr>
              <w:t>98</w:t>
            </w:r>
          </w:p>
        </w:tc>
      </w:tr>
      <w:tr w:rsidR="001D1367" w:rsidRPr="001D1367" w14:paraId="0D91E778" w14:textId="77777777" w:rsidTr="001D1367">
        <w:trPr>
          <w:trHeight w:val="600"/>
        </w:trPr>
        <w:tc>
          <w:tcPr>
            <w:tcW w:w="960" w:type="dxa"/>
            <w:shd w:val="clear" w:color="auto" w:fill="auto"/>
            <w:noWrap/>
            <w:hideMark/>
          </w:tcPr>
          <w:p w14:paraId="24F20687"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4</w:t>
            </w:r>
          </w:p>
        </w:tc>
        <w:tc>
          <w:tcPr>
            <w:tcW w:w="1080" w:type="dxa"/>
            <w:shd w:val="clear" w:color="auto" w:fill="auto"/>
            <w:noWrap/>
            <w:hideMark/>
          </w:tcPr>
          <w:p w14:paraId="73F13398"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07554429"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6D2488C5"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Balcão em MDF, branco, com duas portas, medindo 0,90x0,50x0,90cm</w:t>
            </w:r>
          </w:p>
        </w:tc>
        <w:tc>
          <w:tcPr>
            <w:tcW w:w="1559" w:type="dxa"/>
            <w:shd w:val="clear" w:color="auto" w:fill="auto"/>
            <w:noWrap/>
            <w:hideMark/>
          </w:tcPr>
          <w:p w14:paraId="2D9FF065"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R$ 940,00</w:t>
            </w:r>
          </w:p>
        </w:tc>
        <w:tc>
          <w:tcPr>
            <w:tcW w:w="1584" w:type="dxa"/>
          </w:tcPr>
          <w:p w14:paraId="6BD60BDC" w14:textId="77777777" w:rsidR="001D1367" w:rsidRDefault="001D1367" w:rsidP="001D1367">
            <w:pPr>
              <w:rPr>
                <w:rFonts w:ascii="Arial" w:hAnsi="Arial" w:cs="Arial"/>
                <w:color w:val="000000"/>
              </w:rPr>
            </w:pPr>
            <w:r>
              <w:rPr>
                <w:rFonts w:ascii="Arial" w:hAnsi="Arial" w:cs="Arial"/>
                <w:color w:val="000000"/>
              </w:rPr>
              <w:t>R$ 940,00</w:t>
            </w:r>
          </w:p>
        </w:tc>
      </w:tr>
      <w:tr w:rsidR="001D1367" w:rsidRPr="001D1367" w14:paraId="6089B4CC" w14:textId="77777777" w:rsidTr="001D1367">
        <w:trPr>
          <w:trHeight w:val="600"/>
        </w:trPr>
        <w:tc>
          <w:tcPr>
            <w:tcW w:w="960" w:type="dxa"/>
            <w:shd w:val="clear" w:color="auto" w:fill="auto"/>
            <w:noWrap/>
            <w:hideMark/>
          </w:tcPr>
          <w:p w14:paraId="3169937A"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5</w:t>
            </w:r>
          </w:p>
        </w:tc>
        <w:tc>
          <w:tcPr>
            <w:tcW w:w="1080" w:type="dxa"/>
            <w:shd w:val="clear" w:color="auto" w:fill="auto"/>
            <w:noWrap/>
            <w:hideMark/>
          </w:tcPr>
          <w:p w14:paraId="3A4B8198"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7DB768A0"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0035BC1D"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Balcão em MDF, branco, com tampo de granito, medindo 2,00x0,54x0,87cm</w:t>
            </w:r>
          </w:p>
        </w:tc>
        <w:tc>
          <w:tcPr>
            <w:tcW w:w="1559" w:type="dxa"/>
            <w:shd w:val="clear" w:color="auto" w:fill="auto"/>
            <w:noWrap/>
            <w:hideMark/>
          </w:tcPr>
          <w:p w14:paraId="287E4CE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R$ 4.223,33</w:t>
            </w:r>
          </w:p>
        </w:tc>
        <w:tc>
          <w:tcPr>
            <w:tcW w:w="1584" w:type="dxa"/>
          </w:tcPr>
          <w:p w14:paraId="1059CFE8" w14:textId="77777777" w:rsidR="001D1367" w:rsidRDefault="001D1367" w:rsidP="001D1367">
            <w:pPr>
              <w:rPr>
                <w:rFonts w:ascii="Arial" w:hAnsi="Arial" w:cs="Arial"/>
                <w:color w:val="000000"/>
              </w:rPr>
            </w:pPr>
            <w:r>
              <w:rPr>
                <w:rFonts w:ascii="Arial" w:hAnsi="Arial" w:cs="Arial"/>
                <w:color w:val="000000"/>
              </w:rPr>
              <w:t>R$ 4.223,33</w:t>
            </w:r>
          </w:p>
        </w:tc>
      </w:tr>
      <w:tr w:rsidR="001D1367" w:rsidRPr="001D1367" w14:paraId="7E219103" w14:textId="77777777" w:rsidTr="001D1367">
        <w:trPr>
          <w:trHeight w:val="600"/>
        </w:trPr>
        <w:tc>
          <w:tcPr>
            <w:tcW w:w="960" w:type="dxa"/>
            <w:shd w:val="clear" w:color="auto" w:fill="auto"/>
            <w:noWrap/>
            <w:hideMark/>
          </w:tcPr>
          <w:p w14:paraId="1DE9D4D2"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6</w:t>
            </w:r>
          </w:p>
        </w:tc>
        <w:tc>
          <w:tcPr>
            <w:tcW w:w="1080" w:type="dxa"/>
            <w:shd w:val="clear" w:color="auto" w:fill="auto"/>
            <w:noWrap/>
            <w:hideMark/>
          </w:tcPr>
          <w:p w14:paraId="2E96468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561D1C8F"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35DD8087"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Balcão para recepção em MDF, branco, porta vai e vem, medindo 3,80x0,55x1,20cm</w:t>
            </w:r>
          </w:p>
        </w:tc>
        <w:tc>
          <w:tcPr>
            <w:tcW w:w="1559" w:type="dxa"/>
            <w:shd w:val="clear" w:color="auto" w:fill="auto"/>
            <w:noWrap/>
            <w:hideMark/>
          </w:tcPr>
          <w:p w14:paraId="0D988813"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R$ 4.353,00</w:t>
            </w:r>
          </w:p>
        </w:tc>
        <w:tc>
          <w:tcPr>
            <w:tcW w:w="1584" w:type="dxa"/>
          </w:tcPr>
          <w:p w14:paraId="2FA8E9E4" w14:textId="77777777" w:rsidR="001D1367" w:rsidRDefault="001D1367" w:rsidP="001D1367">
            <w:pPr>
              <w:rPr>
                <w:rFonts w:ascii="Arial" w:hAnsi="Arial" w:cs="Arial"/>
                <w:color w:val="000000"/>
              </w:rPr>
            </w:pPr>
            <w:r>
              <w:rPr>
                <w:rFonts w:ascii="Arial" w:hAnsi="Arial" w:cs="Arial"/>
                <w:color w:val="000000"/>
              </w:rPr>
              <w:t>R$ 4.353,00</w:t>
            </w:r>
          </w:p>
        </w:tc>
      </w:tr>
      <w:tr w:rsidR="001D1367" w:rsidRPr="001D1367" w14:paraId="1FCFE4A4" w14:textId="77777777" w:rsidTr="001D1367">
        <w:trPr>
          <w:trHeight w:val="600"/>
        </w:trPr>
        <w:tc>
          <w:tcPr>
            <w:tcW w:w="960" w:type="dxa"/>
            <w:shd w:val="clear" w:color="auto" w:fill="auto"/>
            <w:noWrap/>
            <w:hideMark/>
          </w:tcPr>
          <w:p w14:paraId="68C52157"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7</w:t>
            </w:r>
          </w:p>
        </w:tc>
        <w:tc>
          <w:tcPr>
            <w:tcW w:w="1080" w:type="dxa"/>
            <w:shd w:val="clear" w:color="auto" w:fill="auto"/>
            <w:noWrap/>
            <w:hideMark/>
          </w:tcPr>
          <w:p w14:paraId="6D9CED2E"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3843F11A"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218541C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Bancada para cozinha em MDF, branco, medindo 1,20x0,50x0,80cm</w:t>
            </w:r>
          </w:p>
        </w:tc>
        <w:tc>
          <w:tcPr>
            <w:tcW w:w="1559" w:type="dxa"/>
            <w:shd w:val="clear" w:color="auto" w:fill="auto"/>
            <w:noWrap/>
            <w:hideMark/>
          </w:tcPr>
          <w:p w14:paraId="1039F04D"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R$ 509,33</w:t>
            </w:r>
          </w:p>
        </w:tc>
        <w:tc>
          <w:tcPr>
            <w:tcW w:w="1584" w:type="dxa"/>
          </w:tcPr>
          <w:p w14:paraId="19C46E80" w14:textId="77777777" w:rsidR="001D1367" w:rsidRDefault="001D1367" w:rsidP="001D1367">
            <w:pPr>
              <w:rPr>
                <w:rFonts w:ascii="Arial" w:hAnsi="Arial" w:cs="Arial"/>
                <w:color w:val="000000"/>
              </w:rPr>
            </w:pPr>
            <w:r>
              <w:rPr>
                <w:rFonts w:ascii="Arial" w:hAnsi="Arial" w:cs="Arial"/>
                <w:color w:val="000000"/>
              </w:rPr>
              <w:t>R$ 509,33</w:t>
            </w:r>
          </w:p>
        </w:tc>
      </w:tr>
      <w:tr w:rsidR="001D1367" w:rsidRPr="001D1367" w14:paraId="2DFC32EB" w14:textId="77777777" w:rsidTr="001D1367">
        <w:trPr>
          <w:trHeight w:val="600"/>
        </w:trPr>
        <w:tc>
          <w:tcPr>
            <w:tcW w:w="960" w:type="dxa"/>
            <w:shd w:val="clear" w:color="auto" w:fill="auto"/>
            <w:noWrap/>
            <w:hideMark/>
          </w:tcPr>
          <w:p w14:paraId="05832DA4"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8</w:t>
            </w:r>
          </w:p>
        </w:tc>
        <w:tc>
          <w:tcPr>
            <w:tcW w:w="1080" w:type="dxa"/>
            <w:shd w:val="clear" w:color="auto" w:fill="auto"/>
            <w:noWrap/>
            <w:hideMark/>
          </w:tcPr>
          <w:p w14:paraId="147A99B0"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3</w:t>
            </w:r>
          </w:p>
        </w:tc>
        <w:tc>
          <w:tcPr>
            <w:tcW w:w="918" w:type="dxa"/>
            <w:shd w:val="clear" w:color="auto" w:fill="auto"/>
            <w:hideMark/>
          </w:tcPr>
          <w:p w14:paraId="3E66B5C0"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0557652A"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Mesa auxiliar em MDF, branco, medindo 0,70x0,60x0,75cm</w:t>
            </w:r>
          </w:p>
        </w:tc>
        <w:tc>
          <w:tcPr>
            <w:tcW w:w="1559" w:type="dxa"/>
            <w:shd w:val="clear" w:color="auto" w:fill="auto"/>
            <w:noWrap/>
            <w:hideMark/>
          </w:tcPr>
          <w:p w14:paraId="04D0AAA4"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R$ 585,33</w:t>
            </w:r>
          </w:p>
        </w:tc>
        <w:tc>
          <w:tcPr>
            <w:tcW w:w="1584" w:type="dxa"/>
          </w:tcPr>
          <w:p w14:paraId="542F19C3" w14:textId="4758DC9D" w:rsidR="001D1367" w:rsidRDefault="001D1367" w:rsidP="001D1367">
            <w:pPr>
              <w:rPr>
                <w:rFonts w:ascii="Arial" w:hAnsi="Arial" w:cs="Arial"/>
                <w:color w:val="000000"/>
              </w:rPr>
            </w:pPr>
            <w:r>
              <w:rPr>
                <w:rFonts w:ascii="Arial" w:hAnsi="Arial" w:cs="Arial"/>
                <w:color w:val="000000"/>
              </w:rPr>
              <w:t>R$ 1.75</w:t>
            </w:r>
            <w:r w:rsidR="00CD6BCD">
              <w:rPr>
                <w:rFonts w:ascii="Arial" w:hAnsi="Arial" w:cs="Arial"/>
                <w:color w:val="000000"/>
              </w:rPr>
              <w:t>5</w:t>
            </w:r>
            <w:r>
              <w:rPr>
                <w:rFonts w:ascii="Arial" w:hAnsi="Arial" w:cs="Arial"/>
                <w:color w:val="000000"/>
              </w:rPr>
              <w:t>,</w:t>
            </w:r>
            <w:r w:rsidR="00CD6BCD">
              <w:rPr>
                <w:rFonts w:ascii="Arial" w:hAnsi="Arial" w:cs="Arial"/>
                <w:color w:val="000000"/>
              </w:rPr>
              <w:t>99</w:t>
            </w:r>
          </w:p>
        </w:tc>
      </w:tr>
      <w:tr w:rsidR="001D1367" w:rsidRPr="001D1367" w14:paraId="200D7326" w14:textId="77777777" w:rsidTr="001D1367">
        <w:trPr>
          <w:trHeight w:val="600"/>
        </w:trPr>
        <w:tc>
          <w:tcPr>
            <w:tcW w:w="960" w:type="dxa"/>
            <w:shd w:val="clear" w:color="auto" w:fill="auto"/>
            <w:noWrap/>
            <w:hideMark/>
          </w:tcPr>
          <w:p w14:paraId="3F3A3C7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9</w:t>
            </w:r>
          </w:p>
        </w:tc>
        <w:tc>
          <w:tcPr>
            <w:tcW w:w="1080" w:type="dxa"/>
            <w:shd w:val="clear" w:color="auto" w:fill="auto"/>
            <w:noWrap/>
            <w:hideMark/>
          </w:tcPr>
          <w:p w14:paraId="382F3617"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3</w:t>
            </w:r>
          </w:p>
        </w:tc>
        <w:tc>
          <w:tcPr>
            <w:tcW w:w="918" w:type="dxa"/>
            <w:shd w:val="clear" w:color="auto" w:fill="auto"/>
            <w:hideMark/>
          </w:tcPr>
          <w:p w14:paraId="063AF06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1E25E71B"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Mesa de atendimento em MDF, branco, medindo 1,20x0,65x0,75cm</w:t>
            </w:r>
          </w:p>
        </w:tc>
        <w:tc>
          <w:tcPr>
            <w:tcW w:w="1559" w:type="dxa"/>
            <w:shd w:val="clear" w:color="auto" w:fill="auto"/>
            <w:noWrap/>
            <w:hideMark/>
          </w:tcPr>
          <w:p w14:paraId="2F1FAD0F"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R$ 984,67</w:t>
            </w:r>
          </w:p>
        </w:tc>
        <w:tc>
          <w:tcPr>
            <w:tcW w:w="1584" w:type="dxa"/>
          </w:tcPr>
          <w:p w14:paraId="6D3EDF67" w14:textId="1EF034E8" w:rsidR="001D1367" w:rsidRDefault="001D1367" w:rsidP="001D1367">
            <w:pPr>
              <w:rPr>
                <w:rFonts w:ascii="Arial" w:hAnsi="Arial" w:cs="Arial"/>
                <w:color w:val="000000"/>
              </w:rPr>
            </w:pPr>
            <w:r>
              <w:rPr>
                <w:rFonts w:ascii="Arial" w:hAnsi="Arial" w:cs="Arial"/>
                <w:color w:val="000000"/>
              </w:rPr>
              <w:t>R$ 2.954,0</w:t>
            </w:r>
            <w:r w:rsidR="00CD6BCD">
              <w:rPr>
                <w:rFonts w:ascii="Arial" w:hAnsi="Arial" w:cs="Arial"/>
                <w:color w:val="000000"/>
              </w:rPr>
              <w:t>1</w:t>
            </w:r>
          </w:p>
        </w:tc>
      </w:tr>
      <w:tr w:rsidR="001D1367" w:rsidRPr="001D1367" w14:paraId="6B83C016" w14:textId="77777777" w:rsidTr="001D1367">
        <w:trPr>
          <w:trHeight w:val="600"/>
        </w:trPr>
        <w:tc>
          <w:tcPr>
            <w:tcW w:w="960" w:type="dxa"/>
            <w:shd w:val="clear" w:color="auto" w:fill="auto"/>
            <w:noWrap/>
            <w:hideMark/>
          </w:tcPr>
          <w:p w14:paraId="3F072EAE"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10</w:t>
            </w:r>
          </w:p>
        </w:tc>
        <w:tc>
          <w:tcPr>
            <w:tcW w:w="1080" w:type="dxa"/>
            <w:shd w:val="clear" w:color="auto" w:fill="auto"/>
            <w:noWrap/>
            <w:hideMark/>
          </w:tcPr>
          <w:p w14:paraId="119693B1"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3</w:t>
            </w:r>
          </w:p>
        </w:tc>
        <w:tc>
          <w:tcPr>
            <w:tcW w:w="918" w:type="dxa"/>
            <w:shd w:val="clear" w:color="auto" w:fill="auto"/>
            <w:hideMark/>
          </w:tcPr>
          <w:p w14:paraId="58ACB5E8"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74CB5F7E"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Mesa de reunião em MDF, branco, medindo 2,50x1,00x0,80cm</w:t>
            </w:r>
          </w:p>
        </w:tc>
        <w:tc>
          <w:tcPr>
            <w:tcW w:w="1559" w:type="dxa"/>
            <w:shd w:val="clear" w:color="auto" w:fill="auto"/>
            <w:noWrap/>
            <w:hideMark/>
          </w:tcPr>
          <w:p w14:paraId="391B594A"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R$ 1.956,33</w:t>
            </w:r>
          </w:p>
        </w:tc>
        <w:tc>
          <w:tcPr>
            <w:tcW w:w="1584" w:type="dxa"/>
          </w:tcPr>
          <w:p w14:paraId="693D30BD" w14:textId="19CCBEA8" w:rsidR="001D1367" w:rsidRDefault="001D1367" w:rsidP="001D1367">
            <w:pPr>
              <w:rPr>
                <w:rFonts w:ascii="Arial" w:hAnsi="Arial" w:cs="Arial"/>
                <w:color w:val="000000"/>
              </w:rPr>
            </w:pPr>
            <w:r>
              <w:rPr>
                <w:rFonts w:ascii="Arial" w:hAnsi="Arial" w:cs="Arial"/>
                <w:color w:val="000000"/>
              </w:rPr>
              <w:t>R$ 5.86</w:t>
            </w:r>
            <w:r w:rsidR="00CD6BCD">
              <w:rPr>
                <w:rFonts w:ascii="Arial" w:hAnsi="Arial" w:cs="Arial"/>
                <w:color w:val="000000"/>
              </w:rPr>
              <w:t>8</w:t>
            </w:r>
            <w:r>
              <w:rPr>
                <w:rFonts w:ascii="Arial" w:hAnsi="Arial" w:cs="Arial"/>
                <w:color w:val="000000"/>
              </w:rPr>
              <w:t>,</w:t>
            </w:r>
            <w:r w:rsidR="00CD6BCD">
              <w:rPr>
                <w:rFonts w:ascii="Arial" w:hAnsi="Arial" w:cs="Arial"/>
                <w:color w:val="000000"/>
              </w:rPr>
              <w:t>99</w:t>
            </w:r>
          </w:p>
        </w:tc>
      </w:tr>
      <w:tr w:rsidR="001D1367" w:rsidRPr="001D1367" w14:paraId="1783A14A" w14:textId="77777777" w:rsidTr="001D1367">
        <w:trPr>
          <w:trHeight w:val="600"/>
        </w:trPr>
        <w:tc>
          <w:tcPr>
            <w:tcW w:w="960" w:type="dxa"/>
            <w:shd w:val="clear" w:color="auto" w:fill="auto"/>
            <w:noWrap/>
            <w:hideMark/>
          </w:tcPr>
          <w:p w14:paraId="386D0EBE"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lastRenderedPageBreak/>
              <w:t>11</w:t>
            </w:r>
          </w:p>
        </w:tc>
        <w:tc>
          <w:tcPr>
            <w:tcW w:w="1080" w:type="dxa"/>
            <w:shd w:val="clear" w:color="auto" w:fill="auto"/>
            <w:noWrap/>
            <w:hideMark/>
          </w:tcPr>
          <w:p w14:paraId="4ADB6783"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1</w:t>
            </w:r>
          </w:p>
        </w:tc>
        <w:tc>
          <w:tcPr>
            <w:tcW w:w="918" w:type="dxa"/>
            <w:shd w:val="clear" w:color="auto" w:fill="auto"/>
            <w:hideMark/>
          </w:tcPr>
          <w:p w14:paraId="5E1EFA49"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Unid.</w:t>
            </w:r>
          </w:p>
        </w:tc>
        <w:tc>
          <w:tcPr>
            <w:tcW w:w="3705" w:type="dxa"/>
            <w:shd w:val="clear" w:color="auto" w:fill="auto"/>
            <w:hideMark/>
          </w:tcPr>
          <w:p w14:paraId="6574995C"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Painel de TV para sala de reunião, em MDF, branco, medindo 2,10x1,20cm</w:t>
            </w:r>
          </w:p>
        </w:tc>
        <w:tc>
          <w:tcPr>
            <w:tcW w:w="1559" w:type="dxa"/>
            <w:shd w:val="clear" w:color="auto" w:fill="auto"/>
            <w:noWrap/>
            <w:hideMark/>
          </w:tcPr>
          <w:p w14:paraId="452C4C44" w14:textId="77777777" w:rsidR="001D1367" w:rsidRPr="001D1367" w:rsidRDefault="001D1367" w:rsidP="001D1367">
            <w:pPr>
              <w:rPr>
                <w:rFonts w:ascii="Arial" w:eastAsia="Times New Roman" w:hAnsi="Arial" w:cs="Arial"/>
                <w:color w:val="000000"/>
              </w:rPr>
            </w:pPr>
            <w:r w:rsidRPr="001D1367">
              <w:rPr>
                <w:rFonts w:ascii="Arial" w:eastAsia="Times New Roman" w:hAnsi="Arial" w:cs="Arial"/>
                <w:color w:val="000000"/>
              </w:rPr>
              <w:t>R$ 868,00</w:t>
            </w:r>
          </w:p>
        </w:tc>
        <w:tc>
          <w:tcPr>
            <w:tcW w:w="1584" w:type="dxa"/>
          </w:tcPr>
          <w:p w14:paraId="4F76B17B" w14:textId="77777777" w:rsidR="001D1367" w:rsidRDefault="001D1367" w:rsidP="001D1367">
            <w:pPr>
              <w:rPr>
                <w:rFonts w:ascii="Arial" w:hAnsi="Arial" w:cs="Arial"/>
                <w:color w:val="000000"/>
              </w:rPr>
            </w:pPr>
            <w:r>
              <w:rPr>
                <w:rFonts w:ascii="Arial" w:hAnsi="Arial" w:cs="Arial"/>
                <w:color w:val="000000"/>
              </w:rPr>
              <w:t>R$ 868,00</w:t>
            </w:r>
          </w:p>
        </w:tc>
      </w:tr>
      <w:tr w:rsidR="001D1367" w:rsidRPr="001D1367" w14:paraId="3FB1D1EB" w14:textId="77777777" w:rsidTr="00A034A8">
        <w:trPr>
          <w:trHeight w:val="70"/>
        </w:trPr>
        <w:tc>
          <w:tcPr>
            <w:tcW w:w="9806" w:type="dxa"/>
            <w:gridSpan w:val="6"/>
            <w:shd w:val="clear" w:color="auto" w:fill="auto"/>
            <w:noWrap/>
          </w:tcPr>
          <w:p w14:paraId="2FCF530C" w14:textId="4850F733" w:rsidR="001D1367" w:rsidRPr="001D1367" w:rsidRDefault="00CD6BCD" w:rsidP="001D1367">
            <w:pPr>
              <w:jc w:val="right"/>
              <w:rPr>
                <w:rFonts w:ascii="Arial" w:hAnsi="Arial" w:cs="Arial"/>
                <w:b/>
                <w:color w:val="000000"/>
              </w:rPr>
            </w:pPr>
            <w:r>
              <w:rPr>
                <w:rFonts w:ascii="Arial" w:hAnsi="Arial" w:cs="Arial"/>
                <w:b/>
                <w:color w:val="000000"/>
              </w:rPr>
              <w:t xml:space="preserve">R$ </w:t>
            </w:r>
            <w:r>
              <w:rPr>
                <w:rFonts w:ascii="Arial" w:hAnsi="Arial" w:cs="Arial"/>
                <w:b/>
                <w:color w:val="000000"/>
              </w:rPr>
              <w:fldChar w:fldCharType="begin"/>
            </w:r>
            <w:r>
              <w:rPr>
                <w:rFonts w:ascii="Arial" w:hAnsi="Arial" w:cs="Arial"/>
                <w:b/>
                <w:color w:val="000000"/>
              </w:rPr>
              <w:instrText xml:space="preserve"> =SUM(ABOVE) \# "0,00" </w:instrText>
            </w:r>
            <w:r>
              <w:rPr>
                <w:rFonts w:ascii="Arial" w:hAnsi="Arial" w:cs="Arial"/>
                <w:b/>
                <w:color w:val="000000"/>
              </w:rPr>
              <w:fldChar w:fldCharType="separate"/>
            </w:r>
            <w:r>
              <w:rPr>
                <w:rFonts w:ascii="Arial" w:hAnsi="Arial" w:cs="Arial"/>
                <w:b/>
                <w:noProof/>
                <w:color w:val="000000"/>
              </w:rPr>
              <w:t>36.095,28</w:t>
            </w:r>
            <w:r>
              <w:rPr>
                <w:rFonts w:ascii="Arial" w:hAnsi="Arial" w:cs="Arial"/>
                <w:b/>
                <w:color w:val="000000"/>
              </w:rPr>
              <w:fldChar w:fldCharType="end"/>
            </w:r>
          </w:p>
        </w:tc>
      </w:tr>
    </w:tbl>
    <w:p w14:paraId="23CF070E" w14:textId="77777777" w:rsidR="005044EF" w:rsidRPr="00732EC9" w:rsidRDefault="005044EF" w:rsidP="002D34FC">
      <w:pPr>
        <w:pStyle w:val="Nivel2"/>
        <w:numPr>
          <w:ilvl w:val="0"/>
          <w:numId w:val="0"/>
        </w:numPr>
        <w:spacing w:before="0" w:after="0" w:line="240" w:lineRule="auto"/>
        <w:ind w:right="-1"/>
        <w:rPr>
          <w:sz w:val="24"/>
          <w:szCs w:val="24"/>
        </w:rPr>
      </w:pPr>
    </w:p>
    <w:p w14:paraId="584E6007"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 xml:space="preserve">O objeto desta contratação não se enquadra como sendo de bem de luxo, conforme </w:t>
      </w:r>
      <w:r w:rsidRPr="008B0B12">
        <w:rPr>
          <w:sz w:val="24"/>
          <w:szCs w:val="24"/>
        </w:rPr>
        <w:t>Art. 20 da Lei 14.133/2021.</w:t>
      </w:r>
    </w:p>
    <w:p w14:paraId="51C6D25F" w14:textId="77777777" w:rsidR="00D66C03" w:rsidRPr="008B0B12" w:rsidRDefault="00D66C03" w:rsidP="002D34FC">
      <w:pPr>
        <w:pStyle w:val="Nivel2"/>
        <w:spacing w:before="0" w:after="0" w:line="240" w:lineRule="auto"/>
        <w:ind w:left="0" w:right="-1" w:firstLine="0"/>
        <w:rPr>
          <w:sz w:val="24"/>
          <w:szCs w:val="24"/>
        </w:rPr>
      </w:pPr>
      <w:r w:rsidRPr="008B0B12">
        <w:rPr>
          <w:sz w:val="24"/>
          <w:szCs w:val="24"/>
        </w:rPr>
        <w:t>Os bens objeto desta contratação são caracterizados como comuns.</w:t>
      </w:r>
    </w:p>
    <w:p w14:paraId="53815A95" w14:textId="77777777" w:rsidR="00D66C03" w:rsidRPr="008B0B12" w:rsidRDefault="00D66C03" w:rsidP="002D34FC">
      <w:pPr>
        <w:pStyle w:val="Nvel2-Red"/>
        <w:spacing w:before="0" w:after="0" w:line="240" w:lineRule="auto"/>
        <w:ind w:left="0" w:right="-1" w:hanging="7"/>
        <w:rPr>
          <w:color w:val="auto"/>
          <w:sz w:val="24"/>
          <w:szCs w:val="24"/>
        </w:rPr>
      </w:pPr>
      <w:r w:rsidRPr="008B0B12">
        <w:rPr>
          <w:i w:val="0"/>
          <w:iCs w:val="0"/>
          <w:color w:val="auto"/>
          <w:sz w:val="24"/>
          <w:szCs w:val="24"/>
        </w:rPr>
        <w:t>O prazo de vigência da contratação é de no máximo de 5 anos contados da assinatura do contrato, prorrogável por até 10 anos, na forma dos artigos 106 e 107 da Lei n° 14.133, de 2021.</w:t>
      </w:r>
    </w:p>
    <w:p w14:paraId="247CD854"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contrato oferece maior detalhamento das regras que serão aplicadas em relação à vigência da contratação.</w:t>
      </w:r>
    </w:p>
    <w:p w14:paraId="6483CBF4" w14:textId="77777777" w:rsidR="00D66C03" w:rsidRPr="00732EC9" w:rsidRDefault="00D66C03" w:rsidP="002D34FC">
      <w:pPr>
        <w:pStyle w:val="Nivel2"/>
        <w:numPr>
          <w:ilvl w:val="0"/>
          <w:numId w:val="0"/>
        </w:numPr>
        <w:spacing w:before="0" w:after="0" w:line="240" w:lineRule="auto"/>
        <w:ind w:right="-1"/>
        <w:rPr>
          <w:sz w:val="24"/>
          <w:szCs w:val="24"/>
        </w:rPr>
      </w:pPr>
    </w:p>
    <w:p w14:paraId="2F344DBF" w14:textId="77777777" w:rsidR="00D66C03" w:rsidRPr="00732EC9" w:rsidRDefault="00D66C03" w:rsidP="002D34FC">
      <w:pPr>
        <w:pStyle w:val="Nivel01"/>
        <w:spacing w:before="0"/>
        <w:ind w:left="0" w:right="-1" w:firstLine="0"/>
        <w:jc w:val="left"/>
        <w:rPr>
          <w:sz w:val="24"/>
          <w:szCs w:val="24"/>
        </w:rPr>
      </w:pPr>
      <w:bookmarkStart w:id="2" w:name="_Toc147911326"/>
      <w:r w:rsidRPr="00732EC9">
        <w:rPr>
          <w:sz w:val="24"/>
          <w:szCs w:val="24"/>
        </w:rPr>
        <w:t>FUNDAMENTAÇÃO E DESCRIÇÃO DA NECESSIDADE DA CONTRATAÇÃO</w:t>
      </w:r>
      <w:bookmarkEnd w:id="2"/>
    </w:p>
    <w:p w14:paraId="049766C4" w14:textId="77777777" w:rsidR="00D66C03" w:rsidRPr="00732EC9" w:rsidRDefault="00D66C03" w:rsidP="002D34FC">
      <w:pPr>
        <w:ind w:right="-1"/>
        <w:rPr>
          <w:rFonts w:ascii="Arial" w:hAnsi="Arial" w:cs="Arial"/>
        </w:rPr>
      </w:pPr>
    </w:p>
    <w:p w14:paraId="3F4E2088"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A Fundamentação da Contratação e de seus quantitativos encontra-se pormenorizada em Tópico específico dos Estudos Técnicos Preliminares, apêndice deste Termo de Referência.</w:t>
      </w:r>
    </w:p>
    <w:p w14:paraId="3342C524" w14:textId="77777777" w:rsidR="00D66C03" w:rsidRDefault="00D66C03" w:rsidP="002D34FC">
      <w:pPr>
        <w:pStyle w:val="Nivel2"/>
        <w:numPr>
          <w:ilvl w:val="0"/>
          <w:numId w:val="4"/>
        </w:numPr>
        <w:spacing w:before="0" w:after="0" w:line="240" w:lineRule="auto"/>
        <w:ind w:left="0" w:right="-1" w:firstLine="0"/>
        <w:contextualSpacing/>
        <w:rPr>
          <w:color w:val="auto"/>
          <w:sz w:val="24"/>
          <w:szCs w:val="24"/>
        </w:rPr>
      </w:pPr>
      <w:r w:rsidRPr="003E3BB7">
        <w:rPr>
          <w:color w:val="auto"/>
          <w:sz w:val="24"/>
          <w:szCs w:val="24"/>
        </w:rPr>
        <w:t xml:space="preserve">O objeto da contratação </w:t>
      </w:r>
      <w:r w:rsidR="00357C59">
        <w:rPr>
          <w:color w:val="auto"/>
          <w:sz w:val="24"/>
          <w:szCs w:val="24"/>
        </w:rPr>
        <w:t>não</w:t>
      </w:r>
      <w:r w:rsidRPr="003E3BB7">
        <w:rPr>
          <w:color w:val="auto"/>
          <w:sz w:val="24"/>
          <w:szCs w:val="24"/>
        </w:rPr>
        <w:t xml:space="preserve"> está previsto no Plano de Contratações Anual;</w:t>
      </w:r>
    </w:p>
    <w:p w14:paraId="2391D7B6" w14:textId="77777777" w:rsidR="007A15F3" w:rsidRPr="003E3BB7" w:rsidRDefault="007A15F3" w:rsidP="007A15F3">
      <w:pPr>
        <w:pStyle w:val="Nivel2"/>
        <w:numPr>
          <w:ilvl w:val="0"/>
          <w:numId w:val="0"/>
        </w:numPr>
        <w:spacing w:before="0" w:after="0" w:line="240" w:lineRule="auto"/>
        <w:ind w:right="-1"/>
        <w:contextualSpacing/>
        <w:rPr>
          <w:color w:val="auto"/>
          <w:sz w:val="24"/>
          <w:szCs w:val="24"/>
        </w:rPr>
      </w:pPr>
    </w:p>
    <w:p w14:paraId="2D0D2E98" w14:textId="77777777" w:rsidR="00D66C03" w:rsidRDefault="00D66C03" w:rsidP="007A15F3">
      <w:pPr>
        <w:pStyle w:val="Nivel01"/>
        <w:spacing w:before="0" w:line="276" w:lineRule="auto"/>
        <w:ind w:left="0" w:right="-1" w:firstLine="0"/>
        <w:jc w:val="left"/>
        <w:rPr>
          <w:sz w:val="24"/>
        </w:rPr>
      </w:pPr>
      <w:r w:rsidRPr="00D66C03">
        <w:rPr>
          <w:sz w:val="24"/>
        </w:rPr>
        <w:t>DESCRIÇÃO DA SOLUÇÃO COMO UM TODO CONSIDERADO O CICLO DE VIDA DO OBJETO E ESPECIFICAÇÃO DO PRODUTO</w:t>
      </w:r>
    </w:p>
    <w:p w14:paraId="6DC15003" w14:textId="77777777" w:rsidR="007A15F3" w:rsidRPr="007A15F3" w:rsidRDefault="007A15F3" w:rsidP="007A15F3"/>
    <w:p w14:paraId="2C277847" w14:textId="77777777" w:rsidR="00D66C03" w:rsidRPr="007A15F3" w:rsidRDefault="00D66C03" w:rsidP="007A15F3">
      <w:pPr>
        <w:pStyle w:val="Nvel2-Red"/>
        <w:spacing w:before="0" w:after="0" w:line="240" w:lineRule="auto"/>
        <w:ind w:left="0" w:right="-1" w:firstLine="0"/>
        <w:rPr>
          <w:i w:val="0"/>
          <w:color w:val="auto"/>
          <w:sz w:val="24"/>
        </w:rPr>
      </w:pPr>
      <w:r w:rsidRPr="007A15F3">
        <w:rPr>
          <w:i w:val="0"/>
          <w:color w:val="auto"/>
          <w:sz w:val="24"/>
        </w:rPr>
        <w:t>A descrição da solução como um todo encontra-se pormenorizada em tópico específico dos Estudos Técnicos Preliminares, apêndice deste Termo de Referência.</w:t>
      </w:r>
    </w:p>
    <w:p w14:paraId="013E18EF" w14:textId="77777777" w:rsidR="00D66C03" w:rsidRPr="00732EC9" w:rsidRDefault="00D66C03" w:rsidP="002D34FC">
      <w:pPr>
        <w:ind w:right="-1"/>
        <w:rPr>
          <w:rFonts w:ascii="Arial" w:hAnsi="Arial" w:cs="Arial"/>
        </w:rPr>
      </w:pPr>
    </w:p>
    <w:p w14:paraId="464F33D5" w14:textId="77777777" w:rsidR="00D66C03" w:rsidRPr="00732EC9" w:rsidRDefault="00D66C03" w:rsidP="002D34FC">
      <w:pPr>
        <w:pStyle w:val="Nivel01"/>
        <w:spacing w:before="0"/>
        <w:ind w:left="0" w:right="-1" w:firstLine="0"/>
        <w:jc w:val="left"/>
        <w:rPr>
          <w:sz w:val="24"/>
          <w:szCs w:val="24"/>
        </w:rPr>
      </w:pPr>
      <w:bookmarkStart w:id="3" w:name="_Toc147911327"/>
      <w:r w:rsidRPr="00732EC9">
        <w:rPr>
          <w:sz w:val="24"/>
          <w:szCs w:val="24"/>
        </w:rPr>
        <w:t>MODELO DE EXECUÇÃO DO OBJETO</w:t>
      </w:r>
      <w:bookmarkEnd w:id="3"/>
    </w:p>
    <w:p w14:paraId="67845642" w14:textId="77777777" w:rsidR="00D66C03" w:rsidRPr="00732EC9" w:rsidRDefault="00D66C03" w:rsidP="002D34FC">
      <w:pPr>
        <w:ind w:right="-1"/>
        <w:rPr>
          <w:rFonts w:ascii="Arial" w:hAnsi="Arial" w:cs="Arial"/>
        </w:rPr>
      </w:pPr>
    </w:p>
    <w:p w14:paraId="5AEE0C2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1D1367">
        <w:rPr>
          <w:i w:val="0"/>
          <w:iCs w:val="0"/>
          <w:color w:val="auto"/>
          <w:sz w:val="24"/>
          <w:szCs w:val="24"/>
        </w:rPr>
        <w:t xml:space="preserve">O prazo de entrega dos bens é de </w:t>
      </w:r>
      <w:r w:rsidR="001D1367">
        <w:rPr>
          <w:i w:val="0"/>
          <w:iCs w:val="0"/>
          <w:color w:val="auto"/>
          <w:sz w:val="24"/>
          <w:szCs w:val="24"/>
        </w:rPr>
        <w:t>6</w:t>
      </w:r>
      <w:r w:rsidR="001D1367" w:rsidRPr="001D1367">
        <w:rPr>
          <w:i w:val="0"/>
          <w:iCs w:val="0"/>
          <w:color w:val="auto"/>
          <w:sz w:val="24"/>
          <w:szCs w:val="24"/>
        </w:rPr>
        <w:t>0</w:t>
      </w:r>
      <w:r w:rsidRPr="001D1367">
        <w:rPr>
          <w:i w:val="0"/>
          <w:iCs w:val="0"/>
          <w:color w:val="auto"/>
          <w:sz w:val="24"/>
          <w:szCs w:val="24"/>
        </w:rPr>
        <w:t xml:space="preserve"> dias, contados do recebimento da </w:t>
      </w:r>
      <w:r>
        <w:rPr>
          <w:i w:val="0"/>
          <w:iCs w:val="0"/>
          <w:color w:val="auto"/>
          <w:sz w:val="24"/>
          <w:szCs w:val="24"/>
        </w:rPr>
        <w:t>autorização de fornecimento.</w:t>
      </w:r>
      <w:r w:rsidRPr="00913077">
        <w:rPr>
          <w:i w:val="0"/>
          <w:iCs w:val="0"/>
          <w:color w:val="auto"/>
          <w:sz w:val="24"/>
          <w:szCs w:val="24"/>
        </w:rPr>
        <w:t xml:space="preserve"> </w:t>
      </w:r>
    </w:p>
    <w:p w14:paraId="7954F667"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não seja possível a entrega na data assinalada, a empresa deverá comunicar as razões respectivas com pelo menos </w:t>
      </w:r>
      <w:r>
        <w:rPr>
          <w:i w:val="0"/>
          <w:iCs w:val="0"/>
          <w:color w:val="auto"/>
          <w:sz w:val="24"/>
          <w:szCs w:val="24"/>
        </w:rPr>
        <w:t>5</w:t>
      </w:r>
      <w:r w:rsidRPr="00913077">
        <w:rPr>
          <w:i w:val="0"/>
          <w:iCs w:val="0"/>
          <w:color w:val="auto"/>
          <w:sz w:val="24"/>
          <w:szCs w:val="24"/>
        </w:rPr>
        <w:t xml:space="preserve"> dias de antecedência para que qualquer pleito de prorrogação de prazo seja analisado, ressalvadas situações de caso fortuito e força maior.</w:t>
      </w:r>
    </w:p>
    <w:p w14:paraId="4B7DBD23" w14:textId="77777777" w:rsidR="00D66C03" w:rsidRPr="0017218D" w:rsidRDefault="00D66C03" w:rsidP="002D34FC">
      <w:pPr>
        <w:pStyle w:val="Nivel2"/>
        <w:spacing w:before="0" w:after="0" w:line="240" w:lineRule="auto"/>
        <w:ind w:left="0" w:right="-1" w:firstLine="0"/>
        <w:rPr>
          <w:color w:val="auto"/>
          <w:sz w:val="24"/>
          <w:szCs w:val="24"/>
          <w:highlight w:val="yellow"/>
        </w:rPr>
      </w:pPr>
      <w:r w:rsidRPr="0017218D">
        <w:rPr>
          <w:color w:val="auto"/>
          <w:sz w:val="24"/>
          <w:szCs w:val="24"/>
          <w:highlight w:val="yellow"/>
        </w:rPr>
        <w:t>Os bens deverão ser entregues</w:t>
      </w:r>
      <w:r w:rsidR="001D1367">
        <w:rPr>
          <w:color w:val="auto"/>
          <w:sz w:val="24"/>
          <w:szCs w:val="24"/>
          <w:highlight w:val="yellow"/>
        </w:rPr>
        <w:t xml:space="preserve"> e montados</w:t>
      </w:r>
      <w:r w:rsidRPr="0017218D">
        <w:rPr>
          <w:color w:val="auto"/>
          <w:sz w:val="24"/>
          <w:szCs w:val="24"/>
          <w:highlight w:val="yellow"/>
        </w:rPr>
        <w:t xml:space="preserve"> no seguinte endereço: </w:t>
      </w:r>
      <w:r w:rsidR="00CC7C0C">
        <w:rPr>
          <w:color w:val="auto"/>
          <w:sz w:val="24"/>
          <w:szCs w:val="24"/>
          <w:highlight w:val="yellow"/>
        </w:rPr>
        <w:t xml:space="preserve">Rua Irineu Bornhausen, SN, Capistrano, </w:t>
      </w:r>
      <w:r w:rsidRPr="0017218D">
        <w:rPr>
          <w:color w:val="auto"/>
          <w:sz w:val="24"/>
          <w:szCs w:val="24"/>
          <w:highlight w:val="yellow"/>
        </w:rPr>
        <w:t>Bom Retiro/SC.</w:t>
      </w:r>
    </w:p>
    <w:p w14:paraId="31CDBAF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O prazo de garantia contratual dos bens, complementar à garantia legal, será de, no mínimo,</w:t>
      </w:r>
      <w:r>
        <w:rPr>
          <w:i w:val="0"/>
          <w:iCs w:val="0"/>
          <w:color w:val="auto"/>
          <w:sz w:val="24"/>
          <w:szCs w:val="24"/>
        </w:rPr>
        <w:t xml:space="preserve"> 3</w:t>
      </w:r>
      <w:r w:rsidRPr="00913077">
        <w:rPr>
          <w:i w:val="0"/>
          <w:iCs w:val="0"/>
          <w:color w:val="auto"/>
          <w:sz w:val="24"/>
          <w:szCs w:val="24"/>
        </w:rPr>
        <w:t xml:space="preserve"> meses, contado a partir do primeiro dia útil subsequente à data do recebimento definitivo do objeto. </w:t>
      </w:r>
    </w:p>
    <w:p w14:paraId="3C8A41A4"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o prazo da garantia oferecida pelo fabricante seja inferior ao estabelecido nesta cláusula, o fornecedor deverá complementar a garantia do bem ofertado pelo período restante. </w:t>
      </w:r>
    </w:p>
    <w:p w14:paraId="1F04F4FD"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será prestada com vistas a manter os equipamentos fornecidos em perfeitas condições de uso, sem qualquer ônus ou custo adicional para o Contratante. </w:t>
      </w:r>
    </w:p>
    <w:p w14:paraId="1C376188"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abrange a realização da manutenção corretiva dos bens pelo próprio Contratado, ou, se for o caso, por meio de assistência técnica autorizada, de acordo com as normas técnicas específicas. </w:t>
      </w:r>
    </w:p>
    <w:p w14:paraId="13A56D29"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Entende-se por manutenção corretiva aquela destinada a corrigir os defeitos apresentados pelos bens, compreendendo a substituição de peças, a realização de ajustes, reparos e correções necessárias. </w:t>
      </w:r>
    </w:p>
    <w:p w14:paraId="4C596DB3"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DD2418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Uma vez notificado, o Contratado realizará a reparação ou substituição dos bens que apresentarem vício ou defeito no prazo de até </w:t>
      </w:r>
      <w:r>
        <w:rPr>
          <w:i w:val="0"/>
          <w:iCs w:val="0"/>
          <w:color w:val="auto"/>
          <w:sz w:val="24"/>
          <w:szCs w:val="24"/>
        </w:rPr>
        <w:t>15</w:t>
      </w:r>
      <w:r w:rsidRPr="00913077">
        <w:rPr>
          <w:i w:val="0"/>
          <w:iCs w:val="0"/>
          <w:color w:val="auto"/>
          <w:sz w:val="24"/>
          <w:szCs w:val="24"/>
        </w:rPr>
        <w:t xml:space="preserve"> dias úteis, contados a partir da data de retirada do equipamento das dependências da Administração pelo Contratado ou pela assistência técnica autorizada. </w:t>
      </w:r>
    </w:p>
    <w:p w14:paraId="26286ED3"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prazo indicado no subitem anterior, durante seu transcurso, poderá ser prorrogado uma única vez, por igual período, mediante solicitação escrita e justificada do Contratado, aceita pelo Contratante. </w:t>
      </w:r>
    </w:p>
    <w:p w14:paraId="78305084"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08DDD2C"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0D6ADFB1"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custo referente ao transporte dos equipamentos cobertos pela garantia será de responsabilidade do Contratado. </w:t>
      </w:r>
    </w:p>
    <w:p w14:paraId="581442C5"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C52659F" w14:textId="77777777" w:rsidR="00D66C03" w:rsidRPr="00732EC9" w:rsidRDefault="00D66C03" w:rsidP="002D34FC">
      <w:pPr>
        <w:pStyle w:val="Nvel2-Red"/>
        <w:numPr>
          <w:ilvl w:val="0"/>
          <w:numId w:val="0"/>
        </w:numPr>
        <w:spacing w:before="0" w:after="0" w:line="240" w:lineRule="auto"/>
        <w:ind w:right="-1"/>
        <w:rPr>
          <w:sz w:val="24"/>
          <w:szCs w:val="24"/>
        </w:rPr>
      </w:pPr>
    </w:p>
    <w:p w14:paraId="20114760" w14:textId="77777777" w:rsidR="00D66C03" w:rsidRPr="00732EC9" w:rsidRDefault="00D66C03" w:rsidP="002D34FC">
      <w:pPr>
        <w:pStyle w:val="Nivel01"/>
        <w:spacing w:before="0"/>
        <w:ind w:left="0" w:right="-1" w:firstLine="0"/>
        <w:jc w:val="left"/>
        <w:rPr>
          <w:sz w:val="24"/>
          <w:szCs w:val="24"/>
        </w:rPr>
      </w:pPr>
      <w:bookmarkStart w:id="4" w:name="_Toc147911328"/>
      <w:r w:rsidRPr="00732EC9">
        <w:rPr>
          <w:sz w:val="24"/>
          <w:szCs w:val="24"/>
        </w:rPr>
        <w:t>MODELO DE GESTÃO DO CONTRATO</w:t>
      </w:r>
      <w:bookmarkEnd w:id="4"/>
    </w:p>
    <w:p w14:paraId="51EBF3B5" w14:textId="77777777" w:rsidR="00D66C03" w:rsidRPr="00732EC9" w:rsidRDefault="00D66C03" w:rsidP="002D34FC">
      <w:pPr>
        <w:ind w:right="-1"/>
        <w:rPr>
          <w:rFonts w:ascii="Arial" w:hAnsi="Arial" w:cs="Arial"/>
        </w:rPr>
      </w:pPr>
    </w:p>
    <w:p w14:paraId="63F14BAE" w14:textId="77777777" w:rsidR="00D66C03" w:rsidRPr="00732EC9" w:rsidRDefault="00D66C03" w:rsidP="002D34FC">
      <w:pPr>
        <w:pStyle w:val="Nivel2"/>
        <w:spacing w:before="0" w:after="0" w:line="240" w:lineRule="auto"/>
        <w:ind w:left="0" w:right="-1" w:firstLine="0"/>
        <w:rPr>
          <w:sz w:val="24"/>
          <w:szCs w:val="24"/>
        </w:rPr>
      </w:pPr>
      <w:r w:rsidRPr="00732EC9">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3AF145C0"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Em caso de impedimento, ordem de paralisação ou suspensão do contrato, o cronograma de execução será prorrogado automaticamente pelo tempo correspondente, anotadas tais circunstâncias mediante simples apostila.</w:t>
      </w:r>
    </w:p>
    <w:p w14:paraId="550DB40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As comunicações entre o órgão ou entidade e a contratada devem ser realizadas por escrito sempre que o ato exigir tal formalidade, admitindo-se o uso de mensagem eletrônica para esse fim.</w:t>
      </w:r>
    </w:p>
    <w:p w14:paraId="09C09C95"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órgão ou entidade poderá convocar representante da empresa para adoção de providências que devam ser cumpridas de imediato.</w:t>
      </w:r>
    </w:p>
    <w:p w14:paraId="3D43B567"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 execução do contrato deverá ser acompanhada e fiscalizada pelo</w:t>
      </w:r>
      <w:r w:rsidR="002D34FC">
        <w:rPr>
          <w:sz w:val="24"/>
          <w:szCs w:val="24"/>
        </w:rPr>
        <w:t xml:space="preserve"> </w:t>
      </w:r>
      <w:r w:rsidRPr="00732EC9">
        <w:rPr>
          <w:sz w:val="24"/>
          <w:szCs w:val="24"/>
        </w:rPr>
        <w:t>(s) fiscal</w:t>
      </w:r>
      <w:r w:rsidR="002D34FC">
        <w:rPr>
          <w:sz w:val="24"/>
          <w:szCs w:val="24"/>
        </w:rPr>
        <w:t xml:space="preserve"> </w:t>
      </w:r>
      <w:r w:rsidRPr="00732EC9">
        <w:rPr>
          <w:sz w:val="24"/>
          <w:szCs w:val="24"/>
        </w:rPr>
        <w:t>(is) do contrato, ou pelos respectivos substitutos.</w:t>
      </w:r>
    </w:p>
    <w:p w14:paraId="69930FE0"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técnico do contrato acompanhará a execução do contrato, para que sejam cumpridas todas as condições estabelecidas no contrato, de modo a assegurar os melhores resultados para a Administração;</w:t>
      </w:r>
    </w:p>
    <w:p w14:paraId="49D4EDF3"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08B95A7F"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Identificada qualquer inexatidão ou irregularidade, o fiscal técnico do contrato emitirá notificações para a correção da execução do contrato, determinando prazo para a correção; </w:t>
      </w:r>
    </w:p>
    <w:p w14:paraId="49D17E19"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04DF5542"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No caso de ocorrências que possam inviabilizar a execução do contrato nas datas aprazadas, o fiscal técnico do contrato comunicará o fato imediatamente ao gestor do contrato.</w:t>
      </w:r>
    </w:p>
    <w:p w14:paraId="06D68618"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comunicar ao gestor do contrato, em tempo hábil, o término do contrato sob sua responsabilidade, com vistas à renovação tempestiva ou à prorrogação contratua</w:t>
      </w:r>
      <w:r>
        <w:rPr>
          <w:sz w:val="24"/>
          <w:szCs w:val="24"/>
        </w:rPr>
        <w:t>l</w:t>
      </w:r>
      <w:r w:rsidRPr="00732EC9">
        <w:rPr>
          <w:sz w:val="24"/>
          <w:szCs w:val="24"/>
        </w:rPr>
        <w:t>.</w:t>
      </w:r>
    </w:p>
    <w:p w14:paraId="6EE2F446"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3C20C0E"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16553AD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EBF4E6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C30A341"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0F3F7E4"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A79A24C"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754077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O fiscal administrativo do contrato comunicará ao gestor do contrato, em tempo hábil, o término do contrato sob sua responsabilidade, com vistas à tempestiva renovação ou prorrogação contratual. </w:t>
      </w:r>
    </w:p>
    <w:p w14:paraId="2DB023FF"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deverá elaborará relatório final com informações sobre a consecução dos objetivos que tenham justificado a contratação e eventuais condutas a serem adotadas para o aprimoramento das atividades da Administração.</w:t>
      </w:r>
    </w:p>
    <w:p w14:paraId="5961C274" w14:textId="77777777" w:rsidR="00D66C03" w:rsidRPr="00732EC9" w:rsidRDefault="00D66C03" w:rsidP="002D34FC">
      <w:pPr>
        <w:pStyle w:val="Nivel2"/>
        <w:numPr>
          <w:ilvl w:val="0"/>
          <w:numId w:val="0"/>
        </w:numPr>
        <w:spacing w:before="0" w:after="0" w:line="240" w:lineRule="auto"/>
        <w:ind w:right="-1"/>
        <w:rPr>
          <w:sz w:val="24"/>
          <w:szCs w:val="24"/>
        </w:rPr>
      </w:pPr>
    </w:p>
    <w:p w14:paraId="166DCDA9" w14:textId="77777777" w:rsidR="00D66C03" w:rsidRPr="00732EC9" w:rsidRDefault="00D66C03" w:rsidP="002D34FC">
      <w:pPr>
        <w:pStyle w:val="Nivel01"/>
        <w:spacing w:before="0"/>
        <w:ind w:left="0" w:right="-1" w:firstLine="0"/>
        <w:jc w:val="left"/>
        <w:rPr>
          <w:sz w:val="24"/>
          <w:szCs w:val="24"/>
        </w:rPr>
      </w:pPr>
      <w:bookmarkStart w:id="5" w:name="_Toc147911329"/>
      <w:r w:rsidRPr="00732EC9">
        <w:rPr>
          <w:sz w:val="24"/>
          <w:szCs w:val="24"/>
        </w:rPr>
        <w:t>CRITÉRIOS DE MEDIÇÃO E DE PAGAMENTO</w:t>
      </w:r>
      <w:bookmarkEnd w:id="5"/>
    </w:p>
    <w:p w14:paraId="0D7786FE" w14:textId="77777777" w:rsidR="00D66C03" w:rsidRPr="00732EC9" w:rsidRDefault="00D66C03" w:rsidP="002D34FC">
      <w:pPr>
        <w:ind w:right="-1"/>
        <w:rPr>
          <w:rFonts w:ascii="Arial" w:hAnsi="Arial" w:cs="Arial"/>
        </w:rPr>
      </w:pPr>
    </w:p>
    <w:p w14:paraId="3D827366"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Os bens serão recebidos provisoriamente, de forma sumária, no ato da entrega, juntamente com a </w:t>
      </w:r>
      <w:r w:rsidRPr="00732EC9">
        <w:rPr>
          <w:rFonts w:eastAsia="Calibri"/>
          <w:sz w:val="24"/>
          <w:szCs w:val="24"/>
          <w:lang w:eastAsia="en-US"/>
        </w:rPr>
        <w:t>nota</w:t>
      </w:r>
      <w:r w:rsidRPr="00732EC9">
        <w:rPr>
          <w:sz w:val="24"/>
          <w:szCs w:val="24"/>
          <w:lang w:eastAsia="en-US"/>
        </w:rPr>
        <w:t xml:space="preserve"> fiscal ou instrumento de cobrança equivalente, pelo</w:t>
      </w:r>
      <w:r w:rsidR="002D34FC">
        <w:rPr>
          <w:sz w:val="24"/>
          <w:szCs w:val="24"/>
          <w:lang w:eastAsia="en-US"/>
        </w:rPr>
        <w:t xml:space="preserve"> </w:t>
      </w:r>
      <w:r w:rsidRPr="00732EC9">
        <w:rPr>
          <w:sz w:val="24"/>
          <w:szCs w:val="24"/>
          <w:lang w:eastAsia="en-US"/>
        </w:rPr>
        <w:t>(a) responsável pelo acompanhamento e fiscalização do contrato, para efeito de posterior verificação de sua conformidade com as especificações constantes no Termo de Referência</w:t>
      </w:r>
      <w:r w:rsidRPr="00732EC9">
        <w:rPr>
          <w:color w:val="FF0000"/>
          <w:sz w:val="24"/>
          <w:szCs w:val="24"/>
          <w:lang w:eastAsia="en-US"/>
        </w:rPr>
        <w:t xml:space="preserve"> </w:t>
      </w:r>
      <w:r w:rsidRPr="00732EC9">
        <w:rPr>
          <w:sz w:val="24"/>
          <w:szCs w:val="24"/>
          <w:lang w:eastAsia="en-US"/>
        </w:rPr>
        <w:t>e na proposta.</w:t>
      </w:r>
    </w:p>
    <w:p w14:paraId="5091E193"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Os bens poderão ser rejeitados, no todo ou em parte, inclusive antes do recebimento provisório, quando em desacordo com as especificações constantes no Termo de Referência</w:t>
      </w:r>
      <w:r w:rsidRPr="00732EC9">
        <w:rPr>
          <w:color w:val="FF0000"/>
          <w:sz w:val="24"/>
          <w:szCs w:val="24"/>
          <w:lang w:eastAsia="en-US"/>
        </w:rPr>
        <w:t xml:space="preserve"> </w:t>
      </w:r>
      <w:r w:rsidRPr="00732EC9">
        <w:rPr>
          <w:sz w:val="24"/>
          <w:szCs w:val="24"/>
          <w:lang w:eastAsia="en-US"/>
        </w:rPr>
        <w:t xml:space="preserve">e na proposta, devendo ser substituídos no prazo de </w:t>
      </w:r>
      <w:r w:rsidRPr="0028521F">
        <w:rPr>
          <w:color w:val="auto"/>
          <w:sz w:val="24"/>
          <w:szCs w:val="24"/>
          <w:lang w:eastAsia="en-US"/>
        </w:rPr>
        <w:t xml:space="preserve">7 </w:t>
      </w:r>
      <w:r w:rsidRPr="00732EC9">
        <w:rPr>
          <w:sz w:val="24"/>
          <w:szCs w:val="24"/>
          <w:lang w:eastAsia="en-US"/>
        </w:rPr>
        <w:t>dias, a contar da notificação da contratada, às suas custas, sem prejuízo da aplicação das penalidades.</w:t>
      </w:r>
    </w:p>
    <w:p w14:paraId="0787B639"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recebimento definitivo ocorrerá no prazo </w:t>
      </w:r>
      <w:r w:rsidRPr="0028521F">
        <w:rPr>
          <w:color w:val="auto"/>
          <w:sz w:val="24"/>
          <w:szCs w:val="24"/>
          <w:lang w:eastAsia="en-US"/>
        </w:rPr>
        <w:t xml:space="preserve">de 15 dias úteis, </w:t>
      </w:r>
      <w:r w:rsidRPr="00732EC9">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7C6658CF"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as contratações decorrentes de despesas cujos valores não ultrapassem o limite de que trata o </w:t>
      </w:r>
      <w:hyperlink r:id="rId7" w:anchor="art75" w:history="1">
        <w:r w:rsidRPr="00732EC9">
          <w:rPr>
            <w:rStyle w:val="Hyperlink"/>
            <w:sz w:val="24"/>
            <w:szCs w:val="24"/>
            <w:lang w:eastAsia="en-US"/>
          </w:rPr>
          <w:t>inciso II do art. 75 da Lei nº 14.133, de 2021</w:t>
        </w:r>
      </w:hyperlink>
      <w:r w:rsidRPr="00732EC9">
        <w:rPr>
          <w:sz w:val="24"/>
          <w:szCs w:val="24"/>
          <w:lang w:eastAsia="en-US"/>
        </w:rPr>
        <w:t xml:space="preserve">, o prazo máximo para o recebimento definitivo será de </w:t>
      </w:r>
      <w:r w:rsidRPr="0028521F">
        <w:rPr>
          <w:color w:val="auto"/>
          <w:sz w:val="24"/>
          <w:szCs w:val="24"/>
          <w:lang w:eastAsia="en-US"/>
        </w:rPr>
        <w:t xml:space="preserve">até 10 dias </w:t>
      </w:r>
      <w:r w:rsidRPr="00732EC9">
        <w:rPr>
          <w:sz w:val="24"/>
          <w:szCs w:val="24"/>
          <w:lang w:eastAsia="en-US"/>
        </w:rPr>
        <w:t>úteis.</w:t>
      </w:r>
    </w:p>
    <w:p w14:paraId="7D69EE90"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prazo para recebimento definitivo poderá ser excepcionalmente prorrogado, </w:t>
      </w:r>
      <w:r w:rsidRPr="00732EC9">
        <w:rPr>
          <w:color w:val="auto"/>
          <w:sz w:val="24"/>
          <w:szCs w:val="24"/>
          <w:lang w:eastAsia="en-US"/>
        </w:rPr>
        <w:t>de forma justificada, por igual período, quando houver necessidade de diligências para a aferição do ate</w:t>
      </w:r>
      <w:r w:rsidRPr="00732EC9">
        <w:rPr>
          <w:sz w:val="24"/>
          <w:szCs w:val="24"/>
          <w:lang w:eastAsia="en-US"/>
        </w:rPr>
        <w:t>ndimento das exigências contratuais.</w:t>
      </w:r>
    </w:p>
    <w:p w14:paraId="63F203C5" w14:textId="77777777" w:rsidR="00D66C03" w:rsidRPr="00732EC9" w:rsidRDefault="00D66C03" w:rsidP="002D34FC">
      <w:pPr>
        <w:pStyle w:val="Nivel2"/>
        <w:spacing w:before="0" w:after="0" w:line="240" w:lineRule="auto"/>
        <w:ind w:left="0" w:right="-1" w:firstLine="0"/>
        <w:rPr>
          <w:sz w:val="24"/>
          <w:szCs w:val="24"/>
          <w:lang w:eastAsia="en-US"/>
        </w:rPr>
      </w:pPr>
      <w:r w:rsidRPr="00732EC9">
        <w:rPr>
          <w:bCs/>
          <w:sz w:val="24"/>
          <w:szCs w:val="24"/>
          <w:lang w:eastAsia="en-US"/>
        </w:rPr>
        <w:t xml:space="preserve">No caso de controvérsia sobre a execução do objeto, quanto à dimensão, qualidade e quantidade, deverá ser observado o teor do </w:t>
      </w:r>
      <w:hyperlink r:id="rId8" w:anchor="art143" w:history="1">
        <w:r w:rsidRPr="00732EC9">
          <w:rPr>
            <w:rStyle w:val="Hyperlink"/>
            <w:bCs/>
            <w:sz w:val="24"/>
            <w:szCs w:val="24"/>
            <w:lang w:eastAsia="en-US"/>
          </w:rPr>
          <w:t>art. 143 da Lei nº 14.133, de 2021</w:t>
        </w:r>
      </w:hyperlink>
      <w:r w:rsidRPr="00732EC9">
        <w:rPr>
          <w:bCs/>
          <w:sz w:val="24"/>
          <w:szCs w:val="24"/>
          <w:lang w:eastAsia="en-US"/>
        </w:rPr>
        <w:t>, comunicando-se à empresa para emissão de Nota Fiscal no que pertine à parcela incontroversa da execução do objeto, para efeito de liquidação e pagamento.</w:t>
      </w:r>
    </w:p>
    <w:p w14:paraId="56878757"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5FE83A"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recebimento provisório ou definitivo não excluirá a responsabilidade civil pela solidez e pela segurança do serviço nem a responsabilidade ético-profissional pela perfeita execução do contrato.</w:t>
      </w:r>
    </w:p>
    <w:p w14:paraId="025CC7D3"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Recebida a Nota Fiscal ou documento de cobrança equivalente, correrá o prazo de</w:t>
      </w:r>
      <w:r>
        <w:rPr>
          <w:sz w:val="24"/>
          <w:szCs w:val="24"/>
          <w:lang w:eastAsia="en-US"/>
        </w:rPr>
        <w:t xml:space="preserve"> 15</w:t>
      </w:r>
      <w:r w:rsidRPr="00732EC9">
        <w:rPr>
          <w:sz w:val="24"/>
          <w:szCs w:val="24"/>
          <w:lang w:eastAsia="en-US"/>
        </w:rPr>
        <w:t xml:space="preserve"> dias úteis para fins de liquidação, na forma desta seção, prorrogáveis por igual período.</w:t>
      </w:r>
    </w:p>
    <w:p w14:paraId="3C6A9975"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8DF2F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o prazo de validade;</w:t>
      </w:r>
    </w:p>
    <w:p w14:paraId="40B01B25"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a data da emissão; </w:t>
      </w:r>
    </w:p>
    <w:p w14:paraId="3F0E339B"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os dados do contrato e do órgão contratante; </w:t>
      </w:r>
    </w:p>
    <w:p w14:paraId="1EDEA0F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período respectivo de execução do contrato; </w:t>
      </w:r>
    </w:p>
    <w:p w14:paraId="5DD30863"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valor a pagar; e </w:t>
      </w:r>
    </w:p>
    <w:p w14:paraId="03F5AF2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eventual destaque do valor de retenções tributárias cabíveis.</w:t>
      </w:r>
    </w:p>
    <w:p w14:paraId="034E632A" w14:textId="77777777" w:rsidR="00D66C03" w:rsidRPr="008B0B12" w:rsidRDefault="00D66C03" w:rsidP="002D34FC">
      <w:pPr>
        <w:pStyle w:val="Nivel2"/>
        <w:spacing w:before="0" w:after="0" w:line="240" w:lineRule="auto"/>
        <w:ind w:left="0" w:right="-1" w:firstLine="0"/>
        <w:rPr>
          <w:sz w:val="24"/>
          <w:szCs w:val="24"/>
          <w:lang w:eastAsia="en-US"/>
        </w:rPr>
      </w:pPr>
      <w:r w:rsidRPr="00732EC9">
        <w:rPr>
          <w:rFonts w:eastAsia="Calibri"/>
          <w:sz w:val="24"/>
          <w:szCs w:val="24"/>
          <w:lang w:eastAsia="en-US"/>
        </w:rPr>
        <w:t xml:space="preserve"> Havendo erro na apresentação da nota fiscal ou instrumento de cobrança equivalente, ou circunstância que impeça a </w:t>
      </w:r>
      <w:r w:rsidRPr="00732EC9">
        <w:rPr>
          <w:sz w:val="24"/>
          <w:szCs w:val="24"/>
          <w:lang w:eastAsia="en-US"/>
        </w:rPr>
        <w:t xml:space="preserve">liquidação da despesa, esta ficará sobrestada até que o contratado providencie as medidas saneadoras, reiniciando-se o prazo após a </w:t>
      </w:r>
      <w:r w:rsidRPr="008B0B12">
        <w:rPr>
          <w:sz w:val="24"/>
          <w:szCs w:val="24"/>
          <w:lang w:eastAsia="en-US"/>
        </w:rPr>
        <w:t>comprovação da regularização da situação, sem ônus ao contratante;</w:t>
      </w:r>
    </w:p>
    <w:p w14:paraId="713EE180"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 xml:space="preserve"> A nota fiscal ou instrumento de cobrança equivalente deverá ser obrigatoriamente acompanhado da comprovação da regularidade fiscal, constatada por meio de consulta </w:t>
      </w:r>
      <w:r w:rsidRPr="008B0B12">
        <w:rPr>
          <w:i/>
          <w:iCs/>
          <w:sz w:val="24"/>
          <w:szCs w:val="24"/>
          <w:lang w:eastAsia="en-US"/>
        </w:rPr>
        <w:t>on-line</w:t>
      </w:r>
      <w:r w:rsidRPr="008B0B12">
        <w:rPr>
          <w:sz w:val="24"/>
          <w:szCs w:val="24"/>
          <w:lang w:eastAsia="en-US"/>
        </w:rPr>
        <w:t xml:space="preserve"> ao SICAF ou, na impossibilidade de acesso ao referido Sistema, mediante consulta aos sítios eletrônicos oficiais ou à documentação mencionada no </w:t>
      </w:r>
      <w:hyperlink r:id="rId9" w:anchor="art68" w:history="1">
        <w:r w:rsidRPr="008B0B12">
          <w:rPr>
            <w:rStyle w:val="Hyperlink"/>
            <w:sz w:val="24"/>
            <w:szCs w:val="24"/>
            <w:lang w:eastAsia="en-US"/>
          </w:rPr>
          <w:t xml:space="preserve">art. 68 da Lei nº 14.133, de 2021.  </w:t>
        </w:r>
      </w:hyperlink>
      <w:r w:rsidRPr="008B0B12">
        <w:rPr>
          <w:sz w:val="24"/>
          <w:szCs w:val="24"/>
          <w:lang w:eastAsia="en-US"/>
        </w:rPr>
        <w:t xml:space="preserve"> </w:t>
      </w:r>
    </w:p>
    <w:p w14:paraId="145DE1E4"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0AFB214"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F4FA9B2"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E2DD207"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EDF3181"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637B0F55"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14:paraId="0308182F"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14:paraId="6894708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Será considerada data do pagamento o dia em que constar como emitida a ordem bancária para pagamento.</w:t>
      </w:r>
    </w:p>
    <w:p w14:paraId="21AEDB3F" w14:textId="77777777" w:rsidR="00D66C03" w:rsidRPr="00F212EF" w:rsidRDefault="00D66C03" w:rsidP="002D34FC">
      <w:pPr>
        <w:pStyle w:val="Nivel2"/>
        <w:spacing w:before="0" w:after="0" w:line="240" w:lineRule="auto"/>
        <w:ind w:left="0" w:right="-1" w:firstLine="0"/>
        <w:rPr>
          <w:sz w:val="24"/>
          <w:szCs w:val="24"/>
          <w:highlight w:val="yellow"/>
          <w:lang w:eastAsia="en-US"/>
        </w:rPr>
      </w:pPr>
      <w:r w:rsidRPr="00F212EF">
        <w:rPr>
          <w:sz w:val="24"/>
          <w:szCs w:val="24"/>
          <w:highlight w:val="yellow"/>
          <w:lang w:eastAsia="en-US"/>
        </w:rPr>
        <w:t>A prestação do serviço ou aquisição de bens estará sujeita a INRFB ° 1234/2012 e suas alterações, bem como, ao Decreto Municipal n° 69/2023, no que diz respeito ao IRRF.</w:t>
      </w:r>
    </w:p>
    <w:p w14:paraId="4C1DBA55" w14:textId="77777777" w:rsidR="00D66C03" w:rsidRPr="00732EC9" w:rsidRDefault="00D66C03" w:rsidP="002D34FC">
      <w:pPr>
        <w:pStyle w:val="Nivel3"/>
        <w:spacing w:before="0" w:after="0" w:line="240" w:lineRule="auto"/>
        <w:ind w:left="0" w:right="-1" w:firstLine="0"/>
        <w:rPr>
          <w:sz w:val="24"/>
          <w:szCs w:val="24"/>
          <w:lang w:eastAsia="en-US"/>
        </w:rPr>
      </w:pPr>
      <w:r w:rsidRPr="00732EC9">
        <w:rPr>
          <w:sz w:val="24"/>
          <w:szCs w:val="24"/>
          <w:lang w:eastAsia="en-US"/>
        </w:rPr>
        <w:t>Independentemente do percentual de tributo inserido na planilha, quando houver, serão retidos na fonte, quando da realização do pagamento, os percentuais estabelecidos na legislação vigente.</w:t>
      </w:r>
    </w:p>
    <w:p w14:paraId="2B821C6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contratado regularmente optante pelo Simples Nacional, nos termos da </w:t>
      </w:r>
      <w:hyperlink r:id="rId10" w:history="1">
        <w:r w:rsidRPr="00732EC9">
          <w:rPr>
            <w:rStyle w:val="Hyperlink"/>
            <w:sz w:val="24"/>
            <w:szCs w:val="24"/>
            <w:lang w:eastAsia="en-US"/>
          </w:rPr>
          <w:t>Lei Complementar nº 123, de 2006</w:t>
        </w:r>
      </w:hyperlink>
      <w:r w:rsidRPr="00732EC9">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8981BA" w14:textId="77777777" w:rsidR="00D66C03" w:rsidRPr="00732EC9" w:rsidRDefault="00D66C03" w:rsidP="002D34FC">
      <w:pPr>
        <w:pStyle w:val="Textodecomentrio"/>
        <w:ind w:right="-1"/>
        <w:rPr>
          <w:rFonts w:ascii="Arial" w:hAnsi="Arial" w:cs="Arial"/>
          <w:b/>
          <w:color w:val="FF0000"/>
          <w:sz w:val="24"/>
          <w:szCs w:val="24"/>
          <w:shd w:val="clear" w:color="auto" w:fill="FFFFFF"/>
        </w:rPr>
      </w:pPr>
    </w:p>
    <w:p w14:paraId="6B428746" w14:textId="77777777" w:rsidR="00D66C03" w:rsidRPr="00732EC9" w:rsidRDefault="00D66C03" w:rsidP="002D34FC">
      <w:pPr>
        <w:pStyle w:val="Nivel01"/>
        <w:spacing w:before="0"/>
        <w:ind w:left="0" w:right="-1" w:firstLine="0"/>
        <w:jc w:val="left"/>
        <w:rPr>
          <w:sz w:val="24"/>
          <w:szCs w:val="24"/>
        </w:rPr>
      </w:pPr>
      <w:bookmarkStart w:id="6" w:name="_Toc147911330"/>
      <w:r w:rsidRPr="00732EC9">
        <w:rPr>
          <w:sz w:val="24"/>
          <w:szCs w:val="24"/>
        </w:rPr>
        <w:t>FORMA E CRITÉRIOS DE SELEÇÃO DO FORNECEDOR</w:t>
      </w:r>
      <w:bookmarkEnd w:id="6"/>
    </w:p>
    <w:p w14:paraId="724C65F0" w14:textId="77777777" w:rsidR="00D66C03" w:rsidRPr="00732EC9" w:rsidRDefault="00D66C03" w:rsidP="002D34FC">
      <w:pPr>
        <w:ind w:right="-1"/>
        <w:rPr>
          <w:rFonts w:ascii="Arial" w:hAnsi="Arial" w:cs="Arial"/>
        </w:rPr>
      </w:pPr>
    </w:p>
    <w:p w14:paraId="77EF9C66" w14:textId="77777777" w:rsidR="00D66C03" w:rsidRPr="008B0B12" w:rsidRDefault="00D66C03" w:rsidP="002D34FC">
      <w:pPr>
        <w:pStyle w:val="Nivel2"/>
        <w:spacing w:before="0" w:after="0" w:line="240" w:lineRule="auto"/>
        <w:ind w:left="0" w:right="-1" w:firstLine="0"/>
        <w:rPr>
          <w:color w:val="auto"/>
          <w:sz w:val="24"/>
          <w:szCs w:val="24"/>
        </w:rPr>
      </w:pPr>
      <w:r w:rsidRPr="00732EC9">
        <w:rPr>
          <w:rFonts w:eastAsia="Arial"/>
          <w:sz w:val="24"/>
          <w:szCs w:val="24"/>
        </w:rPr>
        <w:t xml:space="preserve">O fornecedor será selecionado por meio da realização de procedimento de LICITAÇÃO, na modalidade PREGÃO, sob a forma ELETRÔNICA, com adoção do critério </w:t>
      </w:r>
      <w:r w:rsidRPr="008B0B12">
        <w:rPr>
          <w:rFonts w:eastAsia="Arial"/>
          <w:color w:val="auto"/>
          <w:sz w:val="24"/>
          <w:szCs w:val="24"/>
        </w:rPr>
        <w:t xml:space="preserve">de julgamento </w:t>
      </w:r>
      <w:r w:rsidRPr="00A11CFD">
        <w:rPr>
          <w:rFonts w:eastAsia="Arial"/>
          <w:color w:val="auto"/>
          <w:sz w:val="24"/>
          <w:szCs w:val="24"/>
        </w:rPr>
        <w:t>pelo MENOR PREÇO</w:t>
      </w:r>
      <w:r>
        <w:rPr>
          <w:rFonts w:eastAsia="Arial"/>
          <w:color w:val="auto"/>
          <w:sz w:val="24"/>
          <w:szCs w:val="24"/>
        </w:rPr>
        <w:t>.</w:t>
      </w:r>
    </w:p>
    <w:p w14:paraId="3E4FEAC4"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Para fins de habilitação, deverá o licitante comprovar os seguintes requisitos:</w:t>
      </w:r>
    </w:p>
    <w:p w14:paraId="1AEE48D5" w14:textId="77777777" w:rsidR="00D66C03" w:rsidRPr="00732EC9" w:rsidRDefault="00D66C03" w:rsidP="002D34FC">
      <w:pPr>
        <w:pStyle w:val="Nivel2"/>
        <w:spacing w:before="0" w:after="0" w:line="240" w:lineRule="auto"/>
        <w:ind w:left="0" w:right="-1" w:firstLine="0"/>
        <w:rPr>
          <w:sz w:val="24"/>
          <w:szCs w:val="24"/>
        </w:rPr>
      </w:pPr>
      <w:bookmarkStart w:id="7" w:name="_Ref115800561"/>
      <w:r w:rsidRPr="00732EC9">
        <w:rPr>
          <w:b/>
          <w:bCs/>
          <w:sz w:val="24"/>
          <w:szCs w:val="24"/>
        </w:rPr>
        <w:t>Pessoa física:</w:t>
      </w:r>
      <w:r w:rsidRPr="00732EC9">
        <w:rPr>
          <w:sz w:val="24"/>
          <w:szCs w:val="24"/>
        </w:rPr>
        <w:t xml:space="preserve"> cédula de identidade (RG) ou documento equivalente que, por força de lei, tenha validade para fins de identificação em todo o território nacional;</w:t>
      </w:r>
      <w:bookmarkEnd w:id="7"/>
    </w:p>
    <w:p w14:paraId="426CCEDF"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Empresário individual:</w:t>
      </w:r>
      <w:r w:rsidRPr="00732EC9">
        <w:rPr>
          <w:sz w:val="24"/>
          <w:szCs w:val="24"/>
        </w:rPr>
        <w:t xml:space="preserve"> inscrição no Registro Público de Empresas Mercantis, a cargo da Junta Comercial da respectiva sede; </w:t>
      </w:r>
    </w:p>
    <w:p w14:paraId="63492364"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Microempreendedor Individual - MEI:</w:t>
      </w:r>
      <w:r w:rsidRPr="00732EC9">
        <w:rPr>
          <w:sz w:val="24"/>
          <w:szCs w:val="24"/>
        </w:rPr>
        <w:t xml:space="preserve"> Certificado da Condição de Microempreendedor Individual - CCMEI, cuja aceitação ficará condicionada à verificação da autenticidade no sítio </w:t>
      </w:r>
      <w:hyperlink r:id="rId11" w:history="1">
        <w:r w:rsidRPr="00732EC9">
          <w:rPr>
            <w:rStyle w:val="Hyperlink"/>
            <w:sz w:val="24"/>
            <w:szCs w:val="24"/>
          </w:rPr>
          <w:t>https://www.gov.br/empresas-e-negocios/pt-br/empreendedor</w:t>
        </w:r>
      </w:hyperlink>
      <w:r w:rsidRPr="00732EC9">
        <w:rPr>
          <w:sz w:val="24"/>
          <w:szCs w:val="24"/>
        </w:rPr>
        <w:t xml:space="preserve">; </w:t>
      </w:r>
    </w:p>
    <w:p w14:paraId="07DFA021"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sociedade limitada unipessoal – SLU ou sociedade identificada como empresa individual de responsabilidade limitada - EIRELI:</w:t>
      </w:r>
      <w:r w:rsidRPr="00732EC9">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90EBB93"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estrangeira:</w:t>
      </w:r>
      <w:r w:rsidRPr="00732EC9">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32EC9">
          <w:rPr>
            <w:rStyle w:val="Hyperlink"/>
            <w:sz w:val="24"/>
            <w:szCs w:val="24"/>
          </w:rPr>
          <w:t>Normativa DREI/ME n.º 77, de 18 de março de 2020</w:t>
        </w:r>
      </w:hyperlink>
      <w:r w:rsidRPr="00732EC9">
        <w:rPr>
          <w:sz w:val="24"/>
          <w:szCs w:val="24"/>
        </w:rPr>
        <w:t>.</w:t>
      </w:r>
    </w:p>
    <w:p w14:paraId="353EC8F9"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 xml:space="preserve">Sociedade simples: </w:t>
      </w:r>
      <w:r w:rsidRPr="00732EC9">
        <w:rPr>
          <w:sz w:val="24"/>
          <w:szCs w:val="24"/>
        </w:rPr>
        <w:t>inscrição do ato constitutivo no Registro Civil de Pessoas Jurídicas do local de sua sede, acompanhada de documento comprobatório de seus administradores;</w:t>
      </w:r>
    </w:p>
    <w:p w14:paraId="44B0D8BD"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Filial, sucursal ou agência de sociedade simples ou empresária:</w:t>
      </w:r>
      <w:r w:rsidRPr="00732EC9">
        <w:rPr>
          <w:sz w:val="24"/>
          <w:szCs w:val="24"/>
        </w:rPr>
        <w:t xml:space="preserve"> inscrição do ato constitutivo da filial, sucursal ou agência da sociedade simples ou empresária, respectivamente, no Registro Civil das Pessoas Jurídicas ou no Registro Público de Empresas </w:t>
      </w:r>
      <w:bookmarkStart w:id="8" w:name="_Int_ySfCXwr4"/>
      <w:r w:rsidRPr="00732EC9">
        <w:rPr>
          <w:sz w:val="24"/>
          <w:szCs w:val="24"/>
        </w:rPr>
        <w:t>Mercantis onde</w:t>
      </w:r>
      <w:bookmarkEnd w:id="8"/>
      <w:r w:rsidRPr="00732EC9">
        <w:rPr>
          <w:sz w:val="24"/>
          <w:szCs w:val="24"/>
        </w:rPr>
        <w:t xml:space="preserve"> opera, com averbação no Registro onde tem sede a matriz</w:t>
      </w:r>
    </w:p>
    <w:p w14:paraId="4F77B429"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cooperativa:</w:t>
      </w:r>
      <w:r w:rsidRPr="00732EC9">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32EC9">
          <w:rPr>
            <w:rStyle w:val="Hyperlink"/>
            <w:sz w:val="24"/>
            <w:szCs w:val="24"/>
          </w:rPr>
          <w:t>art. 107 da Lei nº 5.764, de 16 de dezembro 1971</w:t>
        </w:r>
      </w:hyperlink>
      <w:r w:rsidRPr="00732EC9">
        <w:rPr>
          <w:sz w:val="24"/>
          <w:szCs w:val="24"/>
        </w:rPr>
        <w:t>.</w:t>
      </w:r>
    </w:p>
    <w:p w14:paraId="3E475925"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Agricultor familiar:</w:t>
      </w:r>
      <w:r w:rsidRPr="00732EC9">
        <w:rPr>
          <w:sz w:val="24"/>
          <w:szCs w:val="24"/>
        </w:rPr>
        <w:t xml:space="preserve"> Declaração de Aptidão ao Pronaf – DAP ou DAP-P válida, ou, ainda, outros documentos definidos pela Secretaria Especial de Agricultura Familiar e do Desenvolvimento Agrário, nos termos do</w:t>
      </w:r>
      <w:hyperlink r:id="rId14" w:anchor="art4§2" w:history="1">
        <w:r w:rsidRPr="00732EC9">
          <w:rPr>
            <w:rStyle w:val="Hyperlink"/>
            <w:sz w:val="24"/>
            <w:szCs w:val="24"/>
          </w:rPr>
          <w:t xml:space="preserve"> art. 4º, §2º do Decreto nº 10.880, de 2 de dezembro de 2021</w:t>
        </w:r>
      </w:hyperlink>
      <w:r w:rsidRPr="00732EC9">
        <w:rPr>
          <w:sz w:val="24"/>
          <w:szCs w:val="24"/>
        </w:rPr>
        <w:t>.</w:t>
      </w:r>
    </w:p>
    <w:p w14:paraId="5233A886"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Produtor Rural:</w:t>
      </w:r>
      <w:r w:rsidRPr="00732EC9">
        <w:rPr>
          <w:sz w:val="24"/>
          <w:szCs w:val="24"/>
        </w:rPr>
        <w:t xml:space="preserve"> matrícula no Cadastro Específico do INSS – CEI, que comprove a qualificação como produtor rural pessoa física, nos termos da </w:t>
      </w:r>
      <w:hyperlink r:id="rId15" w:history="1">
        <w:r w:rsidRPr="00732EC9">
          <w:rPr>
            <w:rStyle w:val="Hyperlink"/>
            <w:sz w:val="24"/>
            <w:szCs w:val="24"/>
          </w:rPr>
          <w:t>Instrução Normativa RFB n. 971, de 13 de novembro de 2009</w:t>
        </w:r>
      </w:hyperlink>
      <w:r w:rsidRPr="00732EC9">
        <w:rPr>
          <w:sz w:val="24"/>
          <w:szCs w:val="24"/>
        </w:rPr>
        <w:t xml:space="preserve"> (arts. 17 a 19 e 165).</w:t>
      </w:r>
    </w:p>
    <w:p w14:paraId="22D4EC7B"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Os documentos apresentados deverão estar acompanhados de todas as alterações ou da consolidação respectiva.</w:t>
      </w:r>
    </w:p>
    <w:p w14:paraId="5D80EF51" w14:textId="77777777" w:rsidR="00D66C03" w:rsidRPr="00732EC9" w:rsidRDefault="00D66C03" w:rsidP="002D34FC">
      <w:pPr>
        <w:pStyle w:val="Nvel1-SemNum"/>
        <w:spacing w:before="0"/>
        <w:ind w:left="0" w:right="-1"/>
        <w:rPr>
          <w:color w:val="auto"/>
          <w:sz w:val="24"/>
          <w:szCs w:val="24"/>
          <w:lang w:eastAsia="zh-CN" w:bidi="hi-IN"/>
        </w:rPr>
      </w:pPr>
      <w:bookmarkStart w:id="9" w:name="_Toc147911331"/>
      <w:r w:rsidRPr="00732EC9">
        <w:rPr>
          <w:color w:val="auto"/>
          <w:sz w:val="24"/>
          <w:szCs w:val="24"/>
          <w:lang w:eastAsia="zh-CN" w:bidi="hi-IN"/>
        </w:rPr>
        <w:t>Habilitação fiscal, social e trabalhista</w:t>
      </w:r>
      <w:bookmarkEnd w:id="9"/>
    </w:p>
    <w:p w14:paraId="3669DEF4"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inscrição no Cadastro Nacional de Pessoas Jurídicas ou no Cadastro de Pessoas Físicas, conforme o caso;</w:t>
      </w:r>
    </w:p>
    <w:p w14:paraId="169AF908"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fiscal perante a Fazenda Nacional, mediante apresentação de certidão expedida conjuntamente pela Secretaria da Receita Federal do Brasil (RFB)</w:t>
      </w:r>
      <w:r>
        <w:rPr>
          <w:sz w:val="24"/>
          <w:szCs w:val="24"/>
        </w:rPr>
        <w:t>;</w:t>
      </w:r>
    </w:p>
    <w:p w14:paraId="525058D5"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com o Fundo de Garantia do Tempo de Serviço (FGTS);</w:t>
      </w:r>
    </w:p>
    <w:p w14:paraId="6F6CD4AB"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27968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Prova de inscrição no cadastro de contribuintes </w:t>
      </w:r>
      <w:r w:rsidRPr="0028521F">
        <w:rPr>
          <w:color w:val="auto"/>
          <w:sz w:val="24"/>
          <w:szCs w:val="24"/>
        </w:rPr>
        <w:t>Estadual</w:t>
      </w:r>
      <w:r>
        <w:rPr>
          <w:color w:val="auto"/>
          <w:sz w:val="24"/>
          <w:szCs w:val="24"/>
        </w:rPr>
        <w:t xml:space="preserve"> e Municipal</w:t>
      </w:r>
      <w:r>
        <w:rPr>
          <w:i/>
          <w:iCs/>
          <w:color w:val="FF0000"/>
          <w:sz w:val="24"/>
          <w:szCs w:val="24"/>
        </w:rPr>
        <w:t xml:space="preserve"> </w:t>
      </w:r>
      <w:r w:rsidRPr="00732EC9">
        <w:rPr>
          <w:sz w:val="24"/>
          <w:szCs w:val="24"/>
        </w:rPr>
        <w:t xml:space="preserve">relativo ao domicílio ou sede do fornecedor, pertinente ao seu ramo de atividade e compatível com o objeto contratual; </w:t>
      </w:r>
    </w:p>
    <w:p w14:paraId="32C6EDB2" w14:textId="77777777" w:rsidR="00D66C03" w:rsidRPr="0028521F" w:rsidRDefault="00D66C03" w:rsidP="002D34FC">
      <w:pPr>
        <w:pStyle w:val="Nivel2"/>
        <w:spacing w:before="0" w:after="0" w:line="240" w:lineRule="auto"/>
        <w:ind w:left="0" w:right="-1" w:firstLine="0"/>
        <w:rPr>
          <w:color w:val="auto"/>
          <w:sz w:val="24"/>
          <w:szCs w:val="24"/>
        </w:rPr>
      </w:pPr>
      <w:r w:rsidRPr="00732EC9">
        <w:rPr>
          <w:sz w:val="24"/>
          <w:szCs w:val="24"/>
        </w:rPr>
        <w:t xml:space="preserve">Prova de regularidade com a </w:t>
      </w:r>
      <w:r w:rsidRPr="0028521F">
        <w:rPr>
          <w:color w:val="auto"/>
          <w:sz w:val="24"/>
          <w:szCs w:val="24"/>
        </w:rPr>
        <w:t>Fazenda Estadual/Distrital ou Municipal do domicílio ou sede do fornecedor, relativa à atividade em cujo exercício contrata ou concorre;</w:t>
      </w:r>
    </w:p>
    <w:p w14:paraId="14999D09"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Caso o fornece</w:t>
      </w:r>
      <w:r w:rsidRPr="0028521F">
        <w:rPr>
          <w:color w:val="auto"/>
          <w:sz w:val="24"/>
          <w:szCs w:val="24"/>
        </w:rPr>
        <w:t xml:space="preserve">dor seja considerado isento dos tributos [Estadual/Distrital] ou [Municipal/Distrital] </w:t>
      </w:r>
      <w:r w:rsidRPr="00732EC9">
        <w:rPr>
          <w:sz w:val="24"/>
          <w:szCs w:val="24"/>
        </w:rPr>
        <w:t>relacionados ao objeto contratual, deverá comprovar tal condição mediante a apresentação de declaração da Fazenda respectiva do seu domicílio ou sede, ou outra equivalente, na forma da lei.</w:t>
      </w:r>
    </w:p>
    <w:p w14:paraId="642A0DC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C605FC5" w14:textId="77777777" w:rsidR="00D66C03" w:rsidRPr="00732EC9" w:rsidRDefault="00D66C03" w:rsidP="002D34FC">
      <w:pPr>
        <w:pStyle w:val="Nvel1-SemNum"/>
        <w:spacing w:before="0"/>
        <w:ind w:left="0" w:right="-1"/>
        <w:rPr>
          <w:color w:val="auto"/>
          <w:sz w:val="24"/>
          <w:szCs w:val="24"/>
          <w:lang w:eastAsia="zh-CN" w:bidi="hi-IN"/>
        </w:rPr>
      </w:pPr>
      <w:bookmarkStart w:id="10" w:name="_Toc147911332"/>
      <w:r w:rsidRPr="00732EC9">
        <w:rPr>
          <w:color w:val="auto"/>
          <w:sz w:val="24"/>
          <w:szCs w:val="24"/>
          <w:lang w:eastAsia="zh-CN" w:bidi="hi-IN"/>
        </w:rPr>
        <w:t>Qualificação Econômico-Financeira</w:t>
      </w:r>
      <w:bookmarkEnd w:id="10"/>
    </w:p>
    <w:p w14:paraId="5846CA6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Certidão negativa de insolvência civil expedida pelo distribuidor do domicílio ou sede do licitante, caso se trate de pessoa física, desde que admitida a sua participação na licitação (</w:t>
      </w:r>
      <w:hyperlink r:id="rId16" w:anchor="art5" w:history="1">
        <w:r w:rsidRPr="00732EC9">
          <w:rPr>
            <w:rStyle w:val="Hyperlink"/>
            <w:sz w:val="24"/>
            <w:szCs w:val="24"/>
          </w:rPr>
          <w:t>art. 5º, inciso II, alínea “c”, da Instrução Normativa Seges/ME nº 116, de 2021</w:t>
        </w:r>
      </w:hyperlink>
      <w:r w:rsidRPr="00732EC9">
        <w:rPr>
          <w:sz w:val="24"/>
          <w:szCs w:val="24"/>
        </w:rPr>
        <w:t xml:space="preserve">), ou de sociedade simples; </w:t>
      </w:r>
    </w:p>
    <w:p w14:paraId="2ED0AAD7" w14:textId="77777777" w:rsidR="00D66C03" w:rsidRDefault="00D66C03" w:rsidP="002D34FC">
      <w:pPr>
        <w:pStyle w:val="Nivel2"/>
        <w:spacing w:before="0" w:after="0" w:line="240" w:lineRule="auto"/>
        <w:ind w:left="0" w:right="-1" w:firstLine="0"/>
        <w:rPr>
          <w:sz w:val="24"/>
          <w:szCs w:val="24"/>
        </w:rPr>
      </w:pPr>
      <w:r w:rsidRPr="00732EC9">
        <w:rPr>
          <w:sz w:val="24"/>
          <w:szCs w:val="24"/>
        </w:rPr>
        <w:t xml:space="preserve">Certidão negativa de falência expedida pelo distribuidor da sede do fornecedor - </w:t>
      </w:r>
      <w:hyperlink r:id="rId17" w:anchor="art69" w:history="1">
        <w:r w:rsidRPr="00732EC9">
          <w:rPr>
            <w:rStyle w:val="Hyperlink"/>
            <w:sz w:val="24"/>
            <w:szCs w:val="24"/>
          </w:rPr>
          <w:t>Lei nº 14.133, de 2021, art. 69, caput, inciso II</w:t>
        </w:r>
      </w:hyperlink>
      <w:r w:rsidRPr="00732EC9">
        <w:rPr>
          <w:sz w:val="24"/>
          <w:szCs w:val="24"/>
        </w:rPr>
        <w:t>);</w:t>
      </w:r>
    </w:p>
    <w:p w14:paraId="1636BB85" w14:textId="77777777" w:rsidR="00D66C03" w:rsidRPr="00732EC9" w:rsidRDefault="00D66C03" w:rsidP="002D34FC">
      <w:pPr>
        <w:pStyle w:val="Nvel1-SemNum"/>
        <w:spacing w:before="0"/>
        <w:ind w:left="0" w:right="-1"/>
        <w:rPr>
          <w:color w:val="auto"/>
          <w:sz w:val="24"/>
          <w:szCs w:val="24"/>
          <w:lang w:eastAsia="zh-CN" w:bidi="hi-IN"/>
        </w:rPr>
      </w:pPr>
      <w:bookmarkStart w:id="11" w:name="_Toc147911333"/>
      <w:r w:rsidRPr="00732EC9">
        <w:rPr>
          <w:color w:val="auto"/>
          <w:sz w:val="24"/>
          <w:szCs w:val="24"/>
          <w:lang w:eastAsia="zh-CN" w:bidi="hi-IN"/>
        </w:rPr>
        <w:t>Qualificação Técnica</w:t>
      </w:r>
      <w:bookmarkEnd w:id="11"/>
    </w:p>
    <w:p w14:paraId="4CC4A6BF" w14:textId="77777777" w:rsidR="00D66C03" w:rsidRPr="0017218D" w:rsidRDefault="00D66C03" w:rsidP="00CC7C0C">
      <w:pPr>
        <w:pStyle w:val="Nvel2-Red"/>
        <w:spacing w:before="0" w:after="0" w:line="240" w:lineRule="auto"/>
        <w:ind w:left="0" w:right="-1" w:firstLine="0"/>
        <w:rPr>
          <w:i w:val="0"/>
          <w:iCs w:val="0"/>
          <w:sz w:val="24"/>
          <w:szCs w:val="24"/>
        </w:rPr>
      </w:pPr>
      <w:r w:rsidRPr="0017218D">
        <w:rPr>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w:t>
      </w:r>
      <w:r w:rsidR="00783BCC">
        <w:rPr>
          <w:i w:val="0"/>
          <w:iCs w:val="0"/>
          <w:color w:val="auto"/>
          <w:sz w:val="24"/>
          <w:szCs w:val="24"/>
        </w:rPr>
        <w:t xml:space="preserve"> </w:t>
      </w:r>
      <w:r w:rsidRPr="0017218D">
        <w:rPr>
          <w:i w:val="0"/>
          <w:iCs w:val="0"/>
          <w:color w:val="auto"/>
          <w:sz w:val="24"/>
          <w:szCs w:val="24"/>
        </w:rPr>
        <w:t xml:space="preserve">(s) pelo conselho profissional competente, quando for o </w:t>
      </w:r>
    </w:p>
    <w:p w14:paraId="2F3DC787"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Será admitida, para fins de comprovação de quantitativo mínimo, a apresentação e o somatório de diferentes atestados executados de forma concomitante.</w:t>
      </w:r>
    </w:p>
    <w:p w14:paraId="701C4D39" w14:textId="77777777" w:rsidR="00D66C03" w:rsidRPr="0017218D" w:rsidRDefault="00D66C03" w:rsidP="002D34FC">
      <w:pPr>
        <w:pStyle w:val="Nvel3-R"/>
        <w:spacing w:before="0" w:after="0" w:line="240" w:lineRule="auto"/>
        <w:ind w:left="0" w:right="-1" w:firstLine="0"/>
        <w:rPr>
          <w:i w:val="0"/>
          <w:iCs w:val="0"/>
          <w:color w:val="auto"/>
          <w:sz w:val="24"/>
          <w:szCs w:val="24"/>
          <w:shd w:val="clear" w:color="auto" w:fill="FFFF00"/>
        </w:rPr>
      </w:pPr>
      <w:r w:rsidRPr="0017218D">
        <w:rPr>
          <w:i w:val="0"/>
          <w:iCs w:val="0"/>
          <w:color w:val="auto"/>
          <w:sz w:val="24"/>
          <w:szCs w:val="24"/>
        </w:rPr>
        <w:t>Os atestados de capacidade técnica poderão ser apresentados em nome da matriz ou da filial do fornecedor.</w:t>
      </w:r>
    </w:p>
    <w:p w14:paraId="08CB72FB"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06B0A0" w14:textId="77777777" w:rsidR="00D66C03" w:rsidRPr="0017218D" w:rsidRDefault="00D66C03" w:rsidP="002D34FC">
      <w:pPr>
        <w:pStyle w:val="Nivel2"/>
        <w:spacing w:before="0" w:after="0" w:line="240" w:lineRule="auto"/>
        <w:ind w:left="0" w:right="-1" w:firstLine="0"/>
        <w:rPr>
          <w:sz w:val="24"/>
          <w:szCs w:val="24"/>
        </w:rPr>
      </w:pPr>
      <w:r w:rsidRPr="0017218D">
        <w:rPr>
          <w:sz w:val="24"/>
          <w:szCs w:val="24"/>
        </w:rPr>
        <w:t>Caso admitida a participação de cooperativas, será exigida a seguinte documentação complementar:</w:t>
      </w:r>
    </w:p>
    <w:p w14:paraId="1BB28866" w14:textId="77777777" w:rsidR="00D66C03" w:rsidRPr="00732EC9" w:rsidRDefault="00D66C03" w:rsidP="002D34FC">
      <w:pPr>
        <w:pStyle w:val="Nivel3"/>
        <w:spacing w:before="0" w:after="0" w:line="240" w:lineRule="auto"/>
        <w:ind w:left="0" w:right="-1" w:firstLine="0"/>
        <w:rPr>
          <w:sz w:val="24"/>
          <w:szCs w:val="24"/>
        </w:rPr>
      </w:pPr>
      <w:r w:rsidRPr="0017218D">
        <w:rPr>
          <w:sz w:val="24"/>
          <w:szCs w:val="24"/>
        </w:rPr>
        <w:t>A relação dos cooperados que atendem aos requisitos técnicos exigidos para a contratação e que executarão o contrato, com as respectivas atas de inscrição e a</w:t>
      </w:r>
      <w:r w:rsidRPr="00732EC9">
        <w:rPr>
          <w:sz w:val="24"/>
          <w:szCs w:val="24"/>
        </w:rPr>
        <w:t xml:space="preserve"> comprovação de que estão domiciliados na localidade da sede da cooperativa, respeitado o disposto nos </w:t>
      </w:r>
      <w:hyperlink r:id="rId18" w:anchor="art4" w:history="1">
        <w:r w:rsidRPr="00732EC9">
          <w:rPr>
            <w:rStyle w:val="Hyperlink"/>
            <w:sz w:val="24"/>
            <w:szCs w:val="24"/>
          </w:rPr>
          <w:t>arts. 4º, inciso XI, 21, inciso I</w:t>
        </w:r>
      </w:hyperlink>
      <w:r w:rsidRPr="00732EC9">
        <w:rPr>
          <w:sz w:val="24"/>
          <w:szCs w:val="24"/>
        </w:rPr>
        <w:t xml:space="preserve"> e </w:t>
      </w:r>
      <w:hyperlink r:id="rId19" w:anchor="art42" w:history="1">
        <w:r w:rsidRPr="00732EC9">
          <w:rPr>
            <w:rStyle w:val="Hyperlink"/>
            <w:sz w:val="24"/>
            <w:szCs w:val="24"/>
          </w:rPr>
          <w:t>42, §§2º a 6º da Lei n. 5.764, de 1971</w:t>
        </w:r>
      </w:hyperlink>
      <w:r w:rsidRPr="00732EC9">
        <w:rPr>
          <w:sz w:val="24"/>
          <w:szCs w:val="24"/>
        </w:rPr>
        <w:t>;</w:t>
      </w:r>
    </w:p>
    <w:p w14:paraId="2B277338"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A declaração de regularidade de situação do contribuinte individual – DRSCI, para cada um dos cooperados indicados;</w:t>
      </w:r>
    </w:p>
    <w:p w14:paraId="237BFB5F"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comprovação do capital social proporcional ao número de cooperados necessários à prestação do serviço; </w:t>
      </w:r>
    </w:p>
    <w:p w14:paraId="66671EB0"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O registro previsto na </w:t>
      </w:r>
      <w:hyperlink r:id="rId20" w:anchor="art107" w:history="1">
        <w:r w:rsidRPr="00732EC9">
          <w:rPr>
            <w:rStyle w:val="Hyperlink"/>
            <w:sz w:val="24"/>
            <w:szCs w:val="24"/>
          </w:rPr>
          <w:t>Lei n. 5.764, de 1971, art. 107</w:t>
        </w:r>
      </w:hyperlink>
      <w:r w:rsidRPr="00732EC9">
        <w:rPr>
          <w:sz w:val="24"/>
          <w:szCs w:val="24"/>
        </w:rPr>
        <w:t>;</w:t>
      </w:r>
    </w:p>
    <w:p w14:paraId="1D11221A"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A comprovação de integração das respectivas quotas-partes por parte dos cooperados que executarão o contrato; e</w:t>
      </w:r>
    </w:p>
    <w:p w14:paraId="355602F5"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FBC3DBB"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última auditoria contábil-financeira da cooperativa, conforme dispõe o </w:t>
      </w:r>
      <w:hyperlink r:id="rId21" w:anchor="art112" w:history="1">
        <w:r w:rsidRPr="00732EC9">
          <w:rPr>
            <w:rStyle w:val="Hyperlink"/>
            <w:sz w:val="24"/>
            <w:szCs w:val="24"/>
          </w:rPr>
          <w:t>art. 112 da Lei n. 5.764, de 1971</w:t>
        </w:r>
      </w:hyperlink>
      <w:r w:rsidRPr="00732EC9">
        <w:rPr>
          <w:sz w:val="24"/>
          <w:szCs w:val="24"/>
        </w:rPr>
        <w:t>, ou uma declaração, sob as penas da lei, de que tal auditoria não foi exigida pelo órgão fiscalizador.</w:t>
      </w:r>
    </w:p>
    <w:p w14:paraId="339908C6" w14:textId="77777777" w:rsidR="00D66C03" w:rsidRPr="00732EC9" w:rsidRDefault="00D66C03" w:rsidP="002D34FC">
      <w:pPr>
        <w:pStyle w:val="Nivel3"/>
        <w:numPr>
          <w:ilvl w:val="0"/>
          <w:numId w:val="0"/>
        </w:numPr>
        <w:spacing w:before="0" w:after="0" w:line="240" w:lineRule="auto"/>
        <w:ind w:right="-1"/>
        <w:rPr>
          <w:sz w:val="24"/>
          <w:szCs w:val="24"/>
        </w:rPr>
      </w:pPr>
    </w:p>
    <w:p w14:paraId="10F2659B" w14:textId="77777777" w:rsidR="00D66C03" w:rsidRPr="00732EC9" w:rsidRDefault="00D66C03" w:rsidP="002D34FC">
      <w:pPr>
        <w:pStyle w:val="Nivel01"/>
        <w:spacing w:before="0"/>
        <w:ind w:left="0" w:right="-1" w:firstLine="0"/>
        <w:jc w:val="left"/>
        <w:rPr>
          <w:sz w:val="24"/>
          <w:szCs w:val="24"/>
        </w:rPr>
      </w:pPr>
      <w:bookmarkStart w:id="12" w:name="_Toc147911334"/>
      <w:r w:rsidRPr="00732EC9">
        <w:rPr>
          <w:sz w:val="24"/>
          <w:szCs w:val="24"/>
        </w:rPr>
        <w:t>ESTIMATIVAS DO VALOR DA CONTRATAÇÃO</w:t>
      </w:r>
      <w:bookmarkEnd w:id="12"/>
    </w:p>
    <w:p w14:paraId="3E309E56" w14:textId="77777777" w:rsidR="00D66C03" w:rsidRPr="0017218D" w:rsidRDefault="00D66C03" w:rsidP="002D34FC">
      <w:pPr>
        <w:ind w:right="-1"/>
        <w:rPr>
          <w:rFonts w:ascii="Arial" w:hAnsi="Arial" w:cs="Arial"/>
        </w:rPr>
      </w:pPr>
    </w:p>
    <w:p w14:paraId="6A371777" w14:textId="5796D54B" w:rsidR="00D66C03" w:rsidRPr="00CC7C0C" w:rsidRDefault="00D66C03" w:rsidP="002D34FC">
      <w:pPr>
        <w:pStyle w:val="Nvel2-Red"/>
        <w:spacing w:before="0" w:after="0" w:line="240" w:lineRule="auto"/>
        <w:ind w:left="0" w:right="-1" w:firstLine="0"/>
        <w:rPr>
          <w:b/>
          <w:bCs/>
          <w:i w:val="0"/>
          <w:iCs w:val="0"/>
          <w:color w:val="auto"/>
          <w:sz w:val="24"/>
          <w:szCs w:val="24"/>
        </w:rPr>
      </w:pPr>
      <w:r w:rsidRPr="00CC7C0C">
        <w:rPr>
          <w:i w:val="0"/>
          <w:iCs w:val="0"/>
          <w:color w:val="auto"/>
          <w:sz w:val="24"/>
          <w:szCs w:val="24"/>
        </w:rPr>
        <w:t>O custo estimado total da contratação é de R$</w:t>
      </w:r>
      <w:r w:rsidR="00CC7C0C" w:rsidRPr="00CC7C0C">
        <w:rPr>
          <w:i w:val="0"/>
          <w:iCs w:val="0"/>
          <w:color w:val="auto"/>
          <w:sz w:val="24"/>
          <w:szCs w:val="24"/>
        </w:rPr>
        <w:t xml:space="preserve"> 36.095,</w:t>
      </w:r>
      <w:r w:rsidR="00CD6BCD">
        <w:rPr>
          <w:i w:val="0"/>
          <w:iCs w:val="0"/>
          <w:color w:val="auto"/>
          <w:sz w:val="24"/>
          <w:szCs w:val="24"/>
        </w:rPr>
        <w:t>28</w:t>
      </w:r>
      <w:r w:rsidRPr="00CC7C0C">
        <w:rPr>
          <w:i w:val="0"/>
          <w:iCs w:val="0"/>
          <w:color w:val="auto"/>
          <w:sz w:val="24"/>
          <w:szCs w:val="24"/>
        </w:rPr>
        <w:t>, conforme custos unitários apostos na tabela acima.</w:t>
      </w:r>
    </w:p>
    <w:p w14:paraId="5E8C2258" w14:textId="77777777" w:rsidR="00D66C03" w:rsidRPr="00732EC9" w:rsidRDefault="00D66C03" w:rsidP="002D34FC">
      <w:pPr>
        <w:pStyle w:val="Nvel2-Red"/>
        <w:numPr>
          <w:ilvl w:val="0"/>
          <w:numId w:val="0"/>
        </w:numPr>
        <w:spacing w:before="0" w:after="0" w:line="240" w:lineRule="auto"/>
        <w:ind w:right="-1"/>
        <w:rPr>
          <w:b/>
          <w:bCs/>
          <w:sz w:val="24"/>
          <w:szCs w:val="24"/>
        </w:rPr>
      </w:pPr>
    </w:p>
    <w:p w14:paraId="410E7C4F" w14:textId="77777777" w:rsidR="00D66C03" w:rsidRPr="00732EC9" w:rsidRDefault="00D66C03" w:rsidP="002D34FC">
      <w:pPr>
        <w:pStyle w:val="Nivel01"/>
        <w:spacing w:before="0"/>
        <w:ind w:left="0" w:right="-1" w:firstLine="0"/>
        <w:jc w:val="left"/>
        <w:rPr>
          <w:sz w:val="24"/>
          <w:szCs w:val="24"/>
        </w:rPr>
      </w:pPr>
      <w:bookmarkStart w:id="13" w:name="_Toc147911335"/>
      <w:r w:rsidRPr="00732EC9">
        <w:rPr>
          <w:sz w:val="24"/>
          <w:szCs w:val="24"/>
        </w:rPr>
        <w:t>ADEQUAÇÃO ORÇAMENTÁRIA</w:t>
      </w:r>
      <w:bookmarkEnd w:id="13"/>
    </w:p>
    <w:p w14:paraId="63C3C394" w14:textId="77777777" w:rsidR="00D66C03" w:rsidRPr="00732EC9" w:rsidRDefault="00D66C03" w:rsidP="002D34FC">
      <w:pPr>
        <w:ind w:right="-1"/>
        <w:rPr>
          <w:rFonts w:ascii="Arial" w:hAnsi="Arial" w:cs="Arial"/>
        </w:rPr>
      </w:pPr>
    </w:p>
    <w:p w14:paraId="6832FFA5" w14:textId="77777777" w:rsidR="00D66C03" w:rsidRPr="00732EC9" w:rsidRDefault="00D66C03" w:rsidP="002D34FC">
      <w:pPr>
        <w:pStyle w:val="Nivel2"/>
        <w:spacing w:before="0" w:after="0" w:line="240" w:lineRule="auto"/>
        <w:ind w:left="0" w:right="-1" w:firstLine="0"/>
        <w:rPr>
          <w:sz w:val="24"/>
          <w:szCs w:val="24"/>
        </w:rPr>
      </w:pPr>
      <w:r w:rsidRPr="00732EC9">
        <w:rPr>
          <w:rFonts w:eastAsia="Arial"/>
          <w:sz w:val="24"/>
          <w:szCs w:val="24"/>
        </w:rPr>
        <w:t>As despesas decorrentes da presente contratação correrão à conta de recursos específicos consignados no Orçamento Geral.</w:t>
      </w:r>
    </w:p>
    <w:p w14:paraId="078658F4" w14:textId="77777777" w:rsidR="00D66C03" w:rsidRDefault="00D66C03" w:rsidP="002D34FC">
      <w:pPr>
        <w:pStyle w:val="Nvel2-Red"/>
        <w:tabs>
          <w:tab w:val="left" w:pos="567"/>
        </w:tabs>
        <w:spacing w:before="0" w:after="0" w:line="240" w:lineRule="auto"/>
        <w:ind w:left="0" w:right="-1" w:firstLine="0"/>
        <w:rPr>
          <w:i w:val="0"/>
          <w:iCs w:val="0"/>
          <w:color w:val="auto"/>
          <w:sz w:val="24"/>
          <w:szCs w:val="24"/>
        </w:rPr>
      </w:pPr>
      <w:r w:rsidRPr="009F7A0A">
        <w:rPr>
          <w:i w:val="0"/>
          <w:iCs w:val="0"/>
          <w:color w:val="auto"/>
          <w:sz w:val="24"/>
          <w:szCs w:val="24"/>
        </w:rPr>
        <w:t>A dotação relativa aos exercícios financeiros subsequentes será indicada após aprovação da Lei Orçamentária respectiva e liberação dos créditos correspondentes, mediante apostilamento.</w:t>
      </w:r>
      <w:bookmarkEnd w:id="1"/>
    </w:p>
    <w:p w14:paraId="480F2D5B" w14:textId="77777777" w:rsidR="004D3EE7" w:rsidRDefault="004D3EE7" w:rsidP="002D34FC">
      <w:pPr>
        <w:ind w:right="-1"/>
      </w:pPr>
    </w:p>
    <w:p w14:paraId="094BD60D" w14:textId="6199261C" w:rsidR="007A15F3" w:rsidRPr="00CC7C0C" w:rsidRDefault="007A15F3" w:rsidP="007A15F3">
      <w:pPr>
        <w:tabs>
          <w:tab w:val="left" w:pos="567"/>
        </w:tabs>
        <w:jc w:val="right"/>
        <w:rPr>
          <w:rFonts w:ascii="Arial" w:eastAsia="MS Mincho" w:hAnsi="Arial" w:cs="Arial"/>
        </w:rPr>
      </w:pPr>
      <w:r w:rsidRPr="00CC7C0C">
        <w:rPr>
          <w:rFonts w:ascii="Arial" w:eastAsia="MS Mincho" w:hAnsi="Arial" w:cs="Arial"/>
        </w:rPr>
        <w:t xml:space="preserve">Bom Retiro, </w:t>
      </w:r>
      <w:r w:rsidR="00C30F82">
        <w:rPr>
          <w:rFonts w:ascii="Arial" w:eastAsia="MS Mincho" w:hAnsi="Arial" w:cs="Arial"/>
        </w:rPr>
        <w:t>11</w:t>
      </w:r>
      <w:r w:rsidRPr="00CC7C0C">
        <w:rPr>
          <w:rFonts w:ascii="Arial" w:eastAsia="MS Mincho" w:hAnsi="Arial" w:cs="Arial"/>
        </w:rPr>
        <w:t xml:space="preserve"> de </w:t>
      </w:r>
      <w:r w:rsidR="00C30F82">
        <w:rPr>
          <w:rFonts w:ascii="Arial" w:eastAsia="MS Mincho" w:hAnsi="Arial" w:cs="Arial"/>
        </w:rPr>
        <w:t>novem</w:t>
      </w:r>
      <w:r w:rsidR="00CC7C0C" w:rsidRPr="00CC7C0C">
        <w:rPr>
          <w:rFonts w:ascii="Arial" w:eastAsia="MS Mincho" w:hAnsi="Arial" w:cs="Arial"/>
        </w:rPr>
        <w:t xml:space="preserve">bro </w:t>
      </w:r>
      <w:r w:rsidRPr="00CC7C0C">
        <w:rPr>
          <w:rFonts w:ascii="Arial" w:eastAsia="MS Mincho" w:hAnsi="Arial" w:cs="Arial"/>
        </w:rPr>
        <w:t>de 2024.</w:t>
      </w:r>
    </w:p>
    <w:p w14:paraId="3D5F69F8" w14:textId="77777777" w:rsidR="007A15F3" w:rsidRPr="00732EC9" w:rsidRDefault="007A15F3" w:rsidP="007A15F3">
      <w:pPr>
        <w:tabs>
          <w:tab w:val="left" w:pos="567"/>
        </w:tabs>
        <w:jc w:val="center"/>
        <w:rPr>
          <w:rFonts w:ascii="Arial" w:eastAsia="MS Mincho" w:hAnsi="Arial" w:cs="Arial"/>
          <w:b/>
        </w:rPr>
      </w:pPr>
    </w:p>
    <w:p w14:paraId="1071203F" w14:textId="77777777" w:rsidR="007A15F3" w:rsidRPr="00732EC9" w:rsidRDefault="007A15F3" w:rsidP="007A15F3">
      <w:pPr>
        <w:tabs>
          <w:tab w:val="left" w:pos="567"/>
        </w:tabs>
        <w:jc w:val="center"/>
        <w:rPr>
          <w:rFonts w:ascii="Arial" w:eastAsia="MS Mincho" w:hAnsi="Arial" w:cs="Arial"/>
          <w:b/>
        </w:rPr>
      </w:pPr>
    </w:p>
    <w:p w14:paraId="5EEEB97F" w14:textId="77777777" w:rsidR="007A15F3" w:rsidRPr="00732EC9" w:rsidRDefault="007A15F3" w:rsidP="007A15F3">
      <w:pPr>
        <w:tabs>
          <w:tab w:val="left" w:pos="567"/>
        </w:tabs>
        <w:jc w:val="center"/>
        <w:rPr>
          <w:rFonts w:ascii="Arial" w:eastAsia="MS Mincho" w:hAnsi="Arial" w:cs="Arial"/>
          <w:b/>
        </w:rPr>
      </w:pPr>
    </w:p>
    <w:p w14:paraId="074F2837"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Albino Gonçalves Padilha</w:t>
      </w:r>
    </w:p>
    <w:p w14:paraId="02C668C0"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10AD4C05" w14:textId="77777777" w:rsidR="007A15F3" w:rsidRDefault="007A15F3" w:rsidP="002D34FC">
      <w:pPr>
        <w:ind w:right="-1"/>
      </w:pPr>
    </w:p>
    <w:sectPr w:rsidR="007A15F3">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CA24" w14:textId="77777777" w:rsidR="007965A5" w:rsidRDefault="007965A5" w:rsidP="00D66C03">
      <w:r>
        <w:separator/>
      </w:r>
    </w:p>
  </w:endnote>
  <w:endnote w:type="continuationSeparator" w:id="0">
    <w:p w14:paraId="1CBCF85D" w14:textId="77777777" w:rsidR="007965A5" w:rsidRDefault="007965A5" w:rsidP="00D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221E" w14:textId="77777777" w:rsidR="00D66C03" w:rsidRDefault="00D66C03" w:rsidP="00D66C03">
    <w:pPr>
      <w:pStyle w:val="Rodap"/>
      <w:rPr>
        <w:rFonts w:ascii="Arial" w:hAnsi="Arial" w:cs="Arial"/>
        <w:i/>
        <w:iCs/>
        <w:sz w:val="20"/>
        <w:szCs w:val="20"/>
      </w:rPr>
    </w:pPr>
  </w:p>
  <w:p w14:paraId="4D0EA540" w14:textId="77777777" w:rsidR="00D66C03" w:rsidRDefault="00D66C03" w:rsidP="00D66C03">
    <w:pPr>
      <w:pStyle w:val="Rodap"/>
      <w:rPr>
        <w:rFonts w:ascii="Arial" w:hAnsi="Arial" w:cs="Arial"/>
        <w:i/>
        <w:iCs/>
        <w:sz w:val="20"/>
        <w:szCs w:val="20"/>
      </w:rPr>
    </w:pPr>
    <w:r w:rsidRPr="00FC32B9">
      <w:rPr>
        <w:rFonts w:ascii="Arial" w:hAnsi="Arial" w:cs="Arial"/>
        <w:i/>
        <w:iCs/>
        <w:sz w:val="20"/>
        <w:szCs w:val="20"/>
      </w:rPr>
      <w:t>Prefeitura Municipal de Bom Retiro/SC</w:t>
    </w:r>
  </w:p>
  <w:p w14:paraId="45E6659C" w14:textId="77777777" w:rsidR="00D66C03" w:rsidRPr="00FC32B9" w:rsidRDefault="00D66C03" w:rsidP="00D66C03">
    <w:pPr>
      <w:pStyle w:val="Rodap"/>
      <w:rPr>
        <w:rFonts w:ascii="Arial" w:hAnsi="Arial" w:cs="Arial"/>
        <w:i/>
        <w:iCs/>
        <w:sz w:val="20"/>
        <w:szCs w:val="20"/>
      </w:rPr>
    </w:pPr>
    <w:r>
      <w:rPr>
        <w:rFonts w:ascii="Arial" w:hAnsi="Arial" w:cs="Arial"/>
        <w:i/>
        <w:iCs/>
        <w:sz w:val="20"/>
        <w:szCs w:val="20"/>
      </w:rPr>
      <w:t>CNPJ 82.777.343/0001-21</w:t>
    </w:r>
  </w:p>
  <w:p w14:paraId="32D4F7F3"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2F38FCCC"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Fone: 49 3277-0183</w:t>
    </w:r>
  </w:p>
  <w:p w14:paraId="3846D795" w14:textId="77777777" w:rsidR="00D66C03" w:rsidRPr="00D66C03"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6A6C" w14:textId="77777777" w:rsidR="007965A5" w:rsidRDefault="007965A5" w:rsidP="00D66C03">
      <w:r>
        <w:separator/>
      </w:r>
    </w:p>
  </w:footnote>
  <w:footnote w:type="continuationSeparator" w:id="0">
    <w:p w14:paraId="6231944E" w14:textId="77777777" w:rsidR="007965A5" w:rsidRDefault="007965A5" w:rsidP="00D6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01DA" w14:textId="77777777" w:rsidR="00D66C03" w:rsidRDefault="00D66C03" w:rsidP="00D66C03">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11C793C1" wp14:editId="307C11AE">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1D56BE72" w14:textId="77777777" w:rsidR="00D66C03" w:rsidRDefault="00D66C03" w:rsidP="00D66C03">
    <w:pPr>
      <w:tabs>
        <w:tab w:val="left" w:pos="9923"/>
      </w:tabs>
      <w:spacing w:line="290" w:lineRule="auto"/>
      <w:ind w:left="2591" w:right="2590"/>
      <w:jc w:val="center"/>
      <w:rPr>
        <w:b/>
        <w:color w:val="808080"/>
        <w:sz w:val="22"/>
      </w:rPr>
    </w:pPr>
  </w:p>
  <w:p w14:paraId="23D4E260" w14:textId="77777777" w:rsidR="00D66C03" w:rsidRDefault="00D66C03" w:rsidP="00D66C03">
    <w:pPr>
      <w:tabs>
        <w:tab w:val="left" w:pos="9923"/>
      </w:tabs>
      <w:spacing w:line="290" w:lineRule="auto"/>
      <w:ind w:left="2591" w:right="2590"/>
      <w:jc w:val="center"/>
      <w:rPr>
        <w:b/>
        <w:color w:val="808080"/>
        <w:sz w:val="22"/>
      </w:rPr>
    </w:pPr>
  </w:p>
  <w:p w14:paraId="38FD30E0" w14:textId="77777777" w:rsidR="00D66C03" w:rsidRDefault="00D66C03" w:rsidP="00D66C03">
    <w:pPr>
      <w:tabs>
        <w:tab w:val="left" w:pos="9923"/>
      </w:tabs>
      <w:spacing w:line="290" w:lineRule="auto"/>
      <w:ind w:left="2591" w:right="2590"/>
      <w:jc w:val="center"/>
      <w:rPr>
        <w:b/>
        <w:color w:val="808080"/>
        <w:sz w:val="22"/>
      </w:rPr>
    </w:pPr>
  </w:p>
  <w:p w14:paraId="6448DD76" w14:textId="77777777" w:rsidR="00D66C03" w:rsidRDefault="00D66C03" w:rsidP="00D66C03">
    <w:pPr>
      <w:tabs>
        <w:tab w:val="left" w:pos="9923"/>
      </w:tabs>
      <w:spacing w:line="290" w:lineRule="auto"/>
      <w:ind w:right="-29"/>
      <w:jc w:val="center"/>
      <w:rPr>
        <w:rFonts w:ascii="Arial" w:hAnsi="Arial" w:cs="Arial"/>
        <w:b/>
      </w:rPr>
    </w:pPr>
  </w:p>
  <w:p w14:paraId="5A64DAC5" w14:textId="77777777" w:rsidR="00D66C03" w:rsidRPr="00FC32B9" w:rsidRDefault="00D66C03" w:rsidP="00D66C03">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6A29AEC6" w14:textId="77777777" w:rsidR="00D66C03" w:rsidRDefault="00D66C03" w:rsidP="00D66C03">
    <w:pPr>
      <w:tabs>
        <w:tab w:val="left" w:pos="5529"/>
        <w:tab w:val="left" w:pos="9923"/>
      </w:tabs>
      <w:spacing w:line="290" w:lineRule="auto"/>
      <w:ind w:right="140"/>
      <w:jc w:val="center"/>
      <w:rPr>
        <w:rFonts w:ascii="Arial" w:hAnsi="Arial" w:cs="Arial"/>
        <w:b/>
      </w:rPr>
    </w:pPr>
    <w:r w:rsidRPr="00FC32B9">
      <w:rPr>
        <w:rFonts w:ascii="Arial" w:hAnsi="Arial" w:cs="Arial"/>
        <w:b/>
      </w:rPr>
      <w:t xml:space="preserve">ESTADO DE SANTA CATARINA </w:t>
    </w:r>
  </w:p>
  <w:p w14:paraId="5C22E1C2" w14:textId="77777777" w:rsidR="00D66C03" w:rsidRDefault="00D6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 w15:restartNumberingAfterBreak="0">
    <w:nsid w:val="76613610"/>
    <w:multiLevelType w:val="hybridMultilevel"/>
    <w:tmpl w:val="1CE83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E2"/>
    <w:rsid w:val="00035E46"/>
    <w:rsid w:val="001D1367"/>
    <w:rsid w:val="002D34FC"/>
    <w:rsid w:val="00357C59"/>
    <w:rsid w:val="004D3EE7"/>
    <w:rsid w:val="005044EF"/>
    <w:rsid w:val="005C7ECD"/>
    <w:rsid w:val="00681A8B"/>
    <w:rsid w:val="00701EBF"/>
    <w:rsid w:val="00783BCC"/>
    <w:rsid w:val="007965A5"/>
    <w:rsid w:val="007A15F3"/>
    <w:rsid w:val="008601E2"/>
    <w:rsid w:val="00B15DEE"/>
    <w:rsid w:val="00C30F82"/>
    <w:rsid w:val="00CC7C0C"/>
    <w:rsid w:val="00CD6BCD"/>
    <w:rsid w:val="00D66C03"/>
    <w:rsid w:val="00FB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6C41"/>
  <w15:chartTrackingRefBased/>
  <w15:docId w15:val="{AC1EDAD0-57A8-4F7C-A692-C4DF26D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C03"/>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D66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66C03"/>
    <w:pPr>
      <w:ind w:left="720"/>
      <w:contextualSpacing/>
    </w:pPr>
  </w:style>
  <w:style w:type="character" w:styleId="Hyperlink">
    <w:name w:val="Hyperlink"/>
    <w:rsid w:val="00D66C03"/>
    <w:rPr>
      <w:color w:val="000080"/>
      <w:u w:val="single"/>
    </w:rPr>
  </w:style>
  <w:style w:type="paragraph" w:styleId="Textodecomentrio">
    <w:name w:val="annotation text"/>
    <w:basedOn w:val="Normal"/>
    <w:link w:val="TextodecomentrioChar"/>
    <w:uiPriority w:val="99"/>
    <w:unhideWhenUsed/>
    <w:qFormat/>
    <w:rsid w:val="00D66C03"/>
    <w:rPr>
      <w:sz w:val="20"/>
      <w:szCs w:val="20"/>
    </w:rPr>
  </w:style>
  <w:style w:type="character" w:customStyle="1" w:styleId="TextodecomentrioChar">
    <w:name w:val="Texto de comentário Char"/>
    <w:basedOn w:val="Fontepargpadro"/>
    <w:link w:val="Textodecomentrio"/>
    <w:uiPriority w:val="99"/>
    <w:qFormat/>
    <w:rsid w:val="00D66C03"/>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D66C03"/>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D66C03"/>
    <w:rPr>
      <w:rFonts w:ascii="Arial" w:eastAsiaTheme="majorEastAsia" w:hAnsi="Arial" w:cs="Arial"/>
      <w:b/>
      <w:bCs/>
      <w:sz w:val="20"/>
      <w:szCs w:val="20"/>
      <w:lang w:eastAsia="pt-BR"/>
    </w:rPr>
  </w:style>
  <w:style w:type="paragraph" w:customStyle="1" w:styleId="Nivel2">
    <w:name w:val="Nivel 2"/>
    <w:basedOn w:val="Normal"/>
    <w:link w:val="Nivel2Char"/>
    <w:qFormat/>
    <w:rsid w:val="00D66C03"/>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D66C0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qFormat/>
    <w:rsid w:val="00D66C03"/>
    <w:pPr>
      <w:numPr>
        <w:ilvl w:val="3"/>
      </w:numPr>
    </w:pPr>
    <w:rPr>
      <w:color w:val="auto"/>
    </w:rPr>
  </w:style>
  <w:style w:type="paragraph" w:customStyle="1" w:styleId="Nivel5">
    <w:name w:val="Nivel 5"/>
    <w:basedOn w:val="Nivel4"/>
    <w:qFormat/>
    <w:rsid w:val="00D66C03"/>
    <w:pPr>
      <w:numPr>
        <w:ilvl w:val="4"/>
      </w:numPr>
      <w:tabs>
        <w:tab w:val="num" w:pos="360"/>
      </w:tabs>
    </w:pPr>
  </w:style>
  <w:style w:type="character" w:customStyle="1" w:styleId="Nivel2Char">
    <w:name w:val="Nivel 2 Char"/>
    <w:basedOn w:val="Fontepargpadro"/>
    <w:link w:val="Nivel2"/>
    <w:locked/>
    <w:rsid w:val="00D66C0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D66C03"/>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D66C03"/>
    <w:rPr>
      <w:i/>
      <w:iCs/>
      <w:color w:val="FF0000"/>
    </w:rPr>
  </w:style>
  <w:style w:type="paragraph" w:customStyle="1" w:styleId="Nvel3-R">
    <w:name w:val="Nível 3-R"/>
    <w:basedOn w:val="Nivel3"/>
    <w:link w:val="Nvel3-RChar"/>
    <w:qFormat/>
    <w:rsid w:val="00D66C03"/>
    <w:rPr>
      <w:i/>
      <w:iCs/>
      <w:color w:val="FF0000"/>
    </w:rPr>
  </w:style>
  <w:style w:type="character" w:customStyle="1" w:styleId="Nvel2-RedChar">
    <w:name w:val="Nível 2 -Red Char"/>
    <w:basedOn w:val="Nivel2Char"/>
    <w:link w:val="Nvel2-Red"/>
    <w:rsid w:val="00D66C0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D66C03"/>
    <w:rPr>
      <w:i/>
      <w:iCs/>
      <w:color w:val="FF0000"/>
    </w:rPr>
  </w:style>
  <w:style w:type="character" w:customStyle="1" w:styleId="Nivel3Char">
    <w:name w:val="Nivel 3 Char"/>
    <w:basedOn w:val="Fontepargpadro"/>
    <w:link w:val="Nivel3"/>
    <w:rsid w:val="00D66C0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66C0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66C03"/>
    <w:pPr>
      <w:numPr>
        <w:numId w:val="0"/>
      </w:numPr>
      <w:ind w:left="357"/>
      <w:outlineLvl w:val="1"/>
    </w:pPr>
    <w:rPr>
      <w:color w:val="FF0000"/>
    </w:rPr>
  </w:style>
  <w:style w:type="character" w:customStyle="1" w:styleId="Nvel4-RChar">
    <w:name w:val="Nível 4-R Char"/>
    <w:basedOn w:val="Fontepargpadro"/>
    <w:link w:val="Nvel4-R"/>
    <w:rsid w:val="00D66C03"/>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D66C03"/>
    <w:rPr>
      <w:rFonts w:ascii="Arial" w:eastAsiaTheme="majorEastAsia" w:hAnsi="Arial" w:cs="Arial"/>
      <w:b/>
      <w:bCs/>
      <w:color w:val="FF0000"/>
      <w:sz w:val="20"/>
      <w:szCs w:val="20"/>
      <w:lang w:eastAsia="pt-BR"/>
    </w:rPr>
  </w:style>
  <w:style w:type="table" w:customStyle="1" w:styleId="Tabelacomgrade1">
    <w:name w:val="Tabela com grade1"/>
    <w:basedOn w:val="Tabelanormal"/>
    <w:next w:val="Tabelacomgrade"/>
    <w:uiPriority w:val="39"/>
    <w:rsid w:val="00D66C03"/>
    <w:pPr>
      <w:spacing w:after="0" w:line="240" w:lineRule="auto"/>
    </w:pPr>
    <w:rPr>
      <w:rFonts w:ascii="Calibri" w:eastAsiaTheme="minorEastAsia"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66C03"/>
    <w:rPr>
      <w:rFonts w:asciiTheme="majorHAnsi" w:eastAsiaTheme="majorEastAsia" w:hAnsiTheme="majorHAnsi" w:cstheme="majorBidi"/>
      <w:color w:val="2E74B5" w:themeColor="accent1" w:themeShade="BF"/>
      <w:sz w:val="32"/>
      <w:szCs w:val="32"/>
      <w:lang w:eastAsia="pt-BR"/>
    </w:rPr>
  </w:style>
  <w:style w:type="table" w:styleId="Tabelacomgrade">
    <w:name w:val="Table Grid"/>
    <w:basedOn w:val="Tabelanormal"/>
    <w:uiPriority w:val="39"/>
    <w:rsid w:val="00D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6C03"/>
    <w:pPr>
      <w:tabs>
        <w:tab w:val="center" w:pos="4252"/>
        <w:tab w:val="right" w:pos="8504"/>
      </w:tabs>
    </w:pPr>
  </w:style>
  <w:style w:type="character" w:customStyle="1" w:styleId="CabealhoChar">
    <w:name w:val="Cabeçalho Char"/>
    <w:basedOn w:val="Fontepargpadro"/>
    <w:link w:val="Cabealho"/>
    <w:uiPriority w:val="99"/>
    <w:rsid w:val="00D66C0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D66C03"/>
    <w:pPr>
      <w:tabs>
        <w:tab w:val="center" w:pos="4252"/>
        <w:tab w:val="right" w:pos="8504"/>
      </w:tabs>
    </w:pPr>
  </w:style>
  <w:style w:type="character" w:customStyle="1" w:styleId="RodapChar">
    <w:name w:val="Rodapé Char"/>
    <w:basedOn w:val="Fontepargpadro"/>
    <w:link w:val="Rodap"/>
    <w:uiPriority w:val="99"/>
    <w:qFormat/>
    <w:rsid w:val="00D66C0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96682">
      <w:bodyDiv w:val="1"/>
      <w:marLeft w:val="0"/>
      <w:marRight w:val="0"/>
      <w:marTop w:val="0"/>
      <w:marBottom w:val="0"/>
      <w:divBdr>
        <w:top w:val="none" w:sz="0" w:space="0" w:color="auto"/>
        <w:left w:val="none" w:sz="0" w:space="0" w:color="auto"/>
        <w:bottom w:val="none" w:sz="0" w:space="0" w:color="auto"/>
        <w:right w:val="none" w:sz="0" w:space="0" w:color="auto"/>
      </w:divBdr>
    </w:div>
    <w:div w:id="17350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23"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4089</Words>
  <Characters>22086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Verlani .</cp:lastModifiedBy>
  <cp:revision>9</cp:revision>
  <dcterms:created xsi:type="dcterms:W3CDTF">2024-07-15T14:27:00Z</dcterms:created>
  <dcterms:modified xsi:type="dcterms:W3CDTF">2024-11-12T17:02:00Z</dcterms:modified>
</cp:coreProperties>
</file>