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B78B" w14:textId="77777777" w:rsidR="00D66C03" w:rsidRPr="00732EC9" w:rsidRDefault="00D66C03" w:rsidP="002D34FC">
      <w:pPr>
        <w:tabs>
          <w:tab w:val="left" w:pos="567"/>
        </w:tabs>
        <w:ind w:right="-1"/>
        <w:jc w:val="center"/>
        <w:rPr>
          <w:rFonts w:ascii="Arial" w:hAnsi="Arial" w:cs="Arial"/>
          <w:b/>
          <w:bCs/>
        </w:rPr>
      </w:pPr>
      <w:r>
        <w:rPr>
          <w:rFonts w:ascii="Arial" w:hAnsi="Arial" w:cs="Arial"/>
          <w:b/>
          <w:bCs/>
        </w:rPr>
        <w:t>TERMO DE REFERÊ</w:t>
      </w:r>
      <w:r w:rsidRPr="00732EC9">
        <w:rPr>
          <w:rFonts w:ascii="Arial" w:hAnsi="Arial" w:cs="Arial"/>
          <w:b/>
          <w:bCs/>
        </w:rPr>
        <w:t>NCIA</w:t>
      </w:r>
    </w:p>
    <w:p w14:paraId="0F4223DE" w14:textId="77777777" w:rsidR="00D66C03" w:rsidRPr="00732EC9" w:rsidRDefault="00D66C03" w:rsidP="002D34FC">
      <w:pPr>
        <w:tabs>
          <w:tab w:val="left" w:pos="567"/>
        </w:tabs>
        <w:ind w:right="-1"/>
        <w:rPr>
          <w:rFonts w:ascii="Arial" w:hAnsi="Arial" w:cs="Arial"/>
        </w:rPr>
      </w:pPr>
    </w:p>
    <w:p w14:paraId="7766C35A" w14:textId="77777777" w:rsidR="00D66C03" w:rsidRPr="00732EC9" w:rsidRDefault="00D66C03" w:rsidP="002D34FC">
      <w:pPr>
        <w:pStyle w:val="Nivel01"/>
        <w:numPr>
          <w:ilvl w:val="0"/>
          <w:numId w:val="2"/>
        </w:numPr>
        <w:spacing w:before="0"/>
        <w:ind w:left="0" w:right="-1" w:firstLine="0"/>
        <w:jc w:val="left"/>
        <w:rPr>
          <w:sz w:val="24"/>
          <w:szCs w:val="24"/>
        </w:rPr>
      </w:pPr>
      <w:bookmarkStart w:id="0" w:name="_Toc147911325"/>
      <w:bookmarkStart w:id="1" w:name="_Hlk82471863"/>
      <w:r w:rsidRPr="00732EC9">
        <w:rPr>
          <w:sz w:val="24"/>
          <w:szCs w:val="24"/>
        </w:rPr>
        <w:t>CONDIÇÕES GERAIS DA CONTRATAÇÃO</w:t>
      </w:r>
      <w:bookmarkEnd w:id="0"/>
    </w:p>
    <w:p w14:paraId="3C614D61" w14:textId="77777777" w:rsidR="00D66C03" w:rsidRPr="00B26DF6" w:rsidRDefault="00D66C03" w:rsidP="002D34FC">
      <w:pPr>
        <w:ind w:right="-1"/>
        <w:rPr>
          <w:rFonts w:ascii="Arial" w:hAnsi="Arial" w:cs="Arial"/>
        </w:rPr>
      </w:pPr>
    </w:p>
    <w:p w14:paraId="7BE25B79" w14:textId="77777777" w:rsidR="00D66C03" w:rsidRPr="008B0B12" w:rsidRDefault="00512B5B" w:rsidP="002D34FC">
      <w:pPr>
        <w:pStyle w:val="Nivel2"/>
        <w:spacing w:before="0" w:after="0" w:line="240" w:lineRule="auto"/>
        <w:ind w:left="0" w:right="-1" w:firstLine="0"/>
        <w:rPr>
          <w:b/>
          <w:bCs/>
          <w:sz w:val="24"/>
          <w:szCs w:val="24"/>
        </w:rPr>
      </w:pPr>
      <w:r w:rsidRPr="00E12590">
        <w:rPr>
          <w:color w:val="auto"/>
          <w:sz w:val="24"/>
          <w:szCs w:val="24"/>
        </w:rPr>
        <w:t xml:space="preserve">Aquisição de material hospitalar e de resgate, para utilização </w:t>
      </w:r>
      <w:r w:rsidRPr="00512B5B">
        <w:rPr>
          <w:sz w:val="24"/>
        </w:rPr>
        <w:t>das Secretarias e Fundos Municipais</w:t>
      </w:r>
      <w:r w:rsidR="00D66C03" w:rsidRPr="00B26DF6">
        <w:rPr>
          <w:b/>
          <w:bCs/>
          <w:color w:val="auto"/>
          <w:sz w:val="24"/>
          <w:szCs w:val="24"/>
        </w:rPr>
        <w:t>,</w:t>
      </w:r>
      <w:r w:rsidR="00D66C03" w:rsidRPr="00B26DF6">
        <w:rPr>
          <w:color w:val="auto"/>
          <w:sz w:val="24"/>
          <w:szCs w:val="24"/>
        </w:rPr>
        <w:t xml:space="preserve"> nos termos da tabela abaixo, conforme </w:t>
      </w:r>
      <w:r w:rsidR="00D66C03" w:rsidRPr="00732EC9">
        <w:rPr>
          <w:sz w:val="24"/>
          <w:szCs w:val="24"/>
        </w:rPr>
        <w:t>condições e exigências estabelecidas neste instrumento.</w:t>
      </w:r>
    </w:p>
    <w:p w14:paraId="35DC3DF9" w14:textId="77777777" w:rsidR="00D66C03" w:rsidRPr="00732EC9" w:rsidRDefault="00D66C03" w:rsidP="002D34FC">
      <w:pPr>
        <w:pStyle w:val="Nivel2"/>
        <w:numPr>
          <w:ilvl w:val="0"/>
          <w:numId w:val="0"/>
        </w:numPr>
        <w:spacing w:before="0" w:after="0" w:line="240" w:lineRule="auto"/>
        <w:ind w:right="-1"/>
        <w:rPr>
          <w:b/>
          <w:bCs/>
          <w:sz w:val="24"/>
          <w:szCs w:val="24"/>
        </w:rPr>
      </w:pP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992"/>
        <w:gridCol w:w="992"/>
        <w:gridCol w:w="4111"/>
        <w:gridCol w:w="1574"/>
      </w:tblGrid>
      <w:tr w:rsidR="008022EC" w:rsidRPr="008022EC" w14:paraId="543B0579" w14:textId="77777777" w:rsidTr="008022EC">
        <w:trPr>
          <w:trHeight w:val="300"/>
        </w:trPr>
        <w:tc>
          <w:tcPr>
            <w:tcW w:w="846" w:type="dxa"/>
            <w:shd w:val="clear" w:color="000000" w:fill="000000"/>
            <w:noWrap/>
            <w:hideMark/>
          </w:tcPr>
          <w:p w14:paraId="5D424D9A" w14:textId="77777777" w:rsidR="008022EC" w:rsidRPr="008022EC" w:rsidRDefault="008022EC" w:rsidP="008022EC">
            <w:pPr>
              <w:rPr>
                <w:rFonts w:ascii="Arial" w:eastAsia="Times New Roman" w:hAnsi="Arial" w:cs="Arial"/>
                <w:b/>
                <w:bCs/>
                <w:color w:val="FFFFFF"/>
              </w:rPr>
            </w:pPr>
            <w:r w:rsidRPr="008022EC">
              <w:rPr>
                <w:rFonts w:ascii="Arial" w:eastAsia="Times New Roman" w:hAnsi="Arial" w:cs="Arial"/>
                <w:b/>
                <w:bCs/>
                <w:color w:val="FFFFFF"/>
              </w:rPr>
              <w:t>Item</w:t>
            </w:r>
          </w:p>
        </w:tc>
        <w:tc>
          <w:tcPr>
            <w:tcW w:w="992" w:type="dxa"/>
            <w:shd w:val="clear" w:color="000000" w:fill="000000"/>
            <w:noWrap/>
            <w:hideMark/>
          </w:tcPr>
          <w:p w14:paraId="53A7E61C" w14:textId="77777777" w:rsidR="008022EC" w:rsidRPr="008022EC" w:rsidRDefault="008022EC" w:rsidP="008022EC">
            <w:pPr>
              <w:rPr>
                <w:rFonts w:ascii="Arial" w:eastAsia="Times New Roman" w:hAnsi="Arial" w:cs="Arial"/>
                <w:b/>
                <w:bCs/>
                <w:color w:val="FFFFFF"/>
              </w:rPr>
            </w:pPr>
            <w:r w:rsidRPr="008022EC">
              <w:rPr>
                <w:rFonts w:ascii="Arial" w:eastAsia="Times New Roman" w:hAnsi="Arial" w:cs="Arial"/>
                <w:b/>
                <w:bCs/>
                <w:color w:val="FFFFFF"/>
              </w:rPr>
              <w:t>Quant.</w:t>
            </w:r>
          </w:p>
        </w:tc>
        <w:tc>
          <w:tcPr>
            <w:tcW w:w="992" w:type="dxa"/>
            <w:shd w:val="clear" w:color="000000" w:fill="000000"/>
            <w:noWrap/>
            <w:hideMark/>
          </w:tcPr>
          <w:p w14:paraId="6B339FDA" w14:textId="77777777" w:rsidR="008022EC" w:rsidRPr="008022EC" w:rsidRDefault="008022EC" w:rsidP="008022EC">
            <w:pPr>
              <w:rPr>
                <w:rFonts w:ascii="Arial" w:eastAsia="Times New Roman" w:hAnsi="Arial" w:cs="Arial"/>
                <w:b/>
                <w:bCs/>
                <w:color w:val="FFFFFF"/>
              </w:rPr>
            </w:pPr>
            <w:r w:rsidRPr="008022EC">
              <w:rPr>
                <w:rFonts w:ascii="Arial" w:eastAsia="Times New Roman" w:hAnsi="Arial" w:cs="Arial"/>
                <w:b/>
                <w:bCs/>
                <w:color w:val="FFFFFF"/>
              </w:rPr>
              <w:t>Unid.</w:t>
            </w:r>
          </w:p>
        </w:tc>
        <w:tc>
          <w:tcPr>
            <w:tcW w:w="4111" w:type="dxa"/>
            <w:shd w:val="clear" w:color="000000" w:fill="000000"/>
            <w:noWrap/>
            <w:hideMark/>
          </w:tcPr>
          <w:p w14:paraId="36886CAD" w14:textId="77777777" w:rsidR="008022EC" w:rsidRPr="008022EC" w:rsidRDefault="008022EC" w:rsidP="008022EC">
            <w:pPr>
              <w:jc w:val="both"/>
              <w:rPr>
                <w:rFonts w:ascii="Arial" w:eastAsia="Times New Roman" w:hAnsi="Arial" w:cs="Arial"/>
                <w:b/>
                <w:bCs/>
                <w:color w:val="FFFFFF"/>
              </w:rPr>
            </w:pPr>
            <w:r w:rsidRPr="008022EC">
              <w:rPr>
                <w:rFonts w:ascii="Arial" w:eastAsia="Times New Roman" w:hAnsi="Arial" w:cs="Arial"/>
                <w:b/>
                <w:bCs/>
                <w:color w:val="FFFFFF"/>
              </w:rPr>
              <w:t>Descrição</w:t>
            </w:r>
          </w:p>
        </w:tc>
        <w:tc>
          <w:tcPr>
            <w:tcW w:w="1574" w:type="dxa"/>
            <w:shd w:val="clear" w:color="000000" w:fill="000000"/>
            <w:noWrap/>
            <w:hideMark/>
          </w:tcPr>
          <w:p w14:paraId="2ABDF3B4" w14:textId="77777777" w:rsidR="008022EC" w:rsidRPr="008022EC" w:rsidRDefault="008022EC" w:rsidP="008022EC">
            <w:pPr>
              <w:rPr>
                <w:rFonts w:ascii="Arial" w:eastAsia="Times New Roman" w:hAnsi="Arial" w:cs="Arial"/>
                <w:b/>
                <w:bCs/>
                <w:color w:val="FFFFFF"/>
              </w:rPr>
            </w:pPr>
            <w:r w:rsidRPr="008022EC">
              <w:rPr>
                <w:rFonts w:ascii="Arial" w:eastAsia="Times New Roman" w:hAnsi="Arial" w:cs="Arial"/>
                <w:b/>
                <w:bCs/>
                <w:color w:val="FFFFFF"/>
              </w:rPr>
              <w:t>Valor unit.</w:t>
            </w:r>
          </w:p>
        </w:tc>
      </w:tr>
      <w:tr w:rsidR="008022EC" w:rsidRPr="008022EC" w14:paraId="63D64961" w14:textId="77777777" w:rsidTr="008022EC">
        <w:trPr>
          <w:trHeight w:val="5784"/>
        </w:trPr>
        <w:tc>
          <w:tcPr>
            <w:tcW w:w="846" w:type="dxa"/>
            <w:shd w:val="clear" w:color="auto" w:fill="auto"/>
            <w:noWrap/>
            <w:hideMark/>
          </w:tcPr>
          <w:p w14:paraId="774DDEED"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w:t>
            </w:r>
          </w:p>
        </w:tc>
        <w:tc>
          <w:tcPr>
            <w:tcW w:w="992" w:type="dxa"/>
            <w:shd w:val="clear" w:color="auto" w:fill="auto"/>
            <w:noWrap/>
            <w:hideMark/>
          </w:tcPr>
          <w:p w14:paraId="016E207D"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5</w:t>
            </w:r>
          </w:p>
        </w:tc>
        <w:tc>
          <w:tcPr>
            <w:tcW w:w="992" w:type="dxa"/>
            <w:shd w:val="clear" w:color="auto" w:fill="auto"/>
            <w:noWrap/>
            <w:hideMark/>
          </w:tcPr>
          <w:p w14:paraId="78E10E95"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6CF96CA7" w14:textId="77777777" w:rsidR="008022EC" w:rsidRPr="008022EC" w:rsidRDefault="008022EC" w:rsidP="00B26DF6">
            <w:pPr>
              <w:jc w:val="both"/>
              <w:rPr>
                <w:rFonts w:ascii="Arial" w:eastAsia="Times New Roman" w:hAnsi="Arial" w:cs="Arial"/>
                <w:color w:val="000000"/>
              </w:rPr>
            </w:pPr>
            <w:r w:rsidRPr="008022EC">
              <w:rPr>
                <w:rFonts w:ascii="Arial" w:eastAsia="Times New Roman" w:hAnsi="Arial" w:cs="Arial"/>
                <w:color w:val="000000"/>
              </w:rPr>
              <w:t>Capacete de Segurança com Lanterna Recarregável de Alta Int</w:t>
            </w:r>
            <w:r>
              <w:rPr>
                <w:rFonts w:ascii="Arial" w:eastAsia="Times New Roman" w:hAnsi="Arial" w:cs="Arial"/>
                <w:color w:val="000000"/>
              </w:rPr>
              <w:t>ensidade, Classe de Proteção A tipo</w:t>
            </w:r>
            <w:r w:rsidRPr="008022EC">
              <w:rPr>
                <w:rFonts w:ascii="Arial" w:eastAsia="Times New Roman" w:hAnsi="Arial" w:cs="Arial"/>
                <w:color w:val="000000"/>
              </w:rPr>
              <w:t xml:space="preserve"> III: Resistente a impactos e protege a cabeça contra objetos pesados e cortantes. Lanterna Recarregável de Alta Intensidade: Permite atendimentos noturnos com segurança e precisão, iluminando o ambiente e garantindo que nenhuma informação importante seja perdida. Suspensão em Fitas</w:t>
            </w:r>
            <w:r w:rsidR="00B26DF6">
              <w:rPr>
                <w:rFonts w:ascii="Arial" w:eastAsia="Times New Roman" w:hAnsi="Arial" w:cs="Arial"/>
                <w:color w:val="000000"/>
              </w:rPr>
              <w:t xml:space="preserve"> Antialérgicas de Polipropileno. </w:t>
            </w:r>
            <w:r w:rsidRPr="008022EC">
              <w:rPr>
                <w:rFonts w:ascii="Arial" w:eastAsia="Times New Roman" w:hAnsi="Arial" w:cs="Arial"/>
                <w:color w:val="000000"/>
              </w:rPr>
              <w:t>Ventilação Frontal, Lateral e Traseira Protegidas por Telas: Garante a circulação de ar e evita o acúmulo de calor e umidade. Refletivo na Parte Traseira e Amortecedores Laterais e Frontais: Proporciona maior visibilidade e s</w:t>
            </w:r>
            <w:r>
              <w:rPr>
                <w:rFonts w:ascii="Arial" w:eastAsia="Times New Roman" w:hAnsi="Arial" w:cs="Arial"/>
                <w:color w:val="000000"/>
              </w:rPr>
              <w:t>egurança durante o atendimento.</w:t>
            </w:r>
          </w:p>
        </w:tc>
        <w:tc>
          <w:tcPr>
            <w:tcW w:w="1574" w:type="dxa"/>
            <w:shd w:val="clear" w:color="auto" w:fill="auto"/>
            <w:noWrap/>
            <w:hideMark/>
          </w:tcPr>
          <w:p w14:paraId="37CA3815"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R$ 306,72</w:t>
            </w:r>
          </w:p>
        </w:tc>
      </w:tr>
      <w:tr w:rsidR="008022EC" w:rsidRPr="008022EC" w14:paraId="40EDF614" w14:textId="77777777" w:rsidTr="008022EC">
        <w:trPr>
          <w:trHeight w:val="70"/>
        </w:trPr>
        <w:tc>
          <w:tcPr>
            <w:tcW w:w="846" w:type="dxa"/>
            <w:shd w:val="clear" w:color="auto" w:fill="auto"/>
            <w:noWrap/>
            <w:hideMark/>
          </w:tcPr>
          <w:p w14:paraId="2ECA0095"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2</w:t>
            </w:r>
          </w:p>
        </w:tc>
        <w:tc>
          <w:tcPr>
            <w:tcW w:w="992" w:type="dxa"/>
            <w:shd w:val="clear" w:color="auto" w:fill="auto"/>
            <w:noWrap/>
            <w:hideMark/>
          </w:tcPr>
          <w:p w14:paraId="16850EA7"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1000</w:t>
            </w:r>
          </w:p>
        </w:tc>
        <w:tc>
          <w:tcPr>
            <w:tcW w:w="992" w:type="dxa"/>
            <w:shd w:val="clear" w:color="auto" w:fill="auto"/>
            <w:noWrap/>
            <w:hideMark/>
          </w:tcPr>
          <w:p w14:paraId="098FCAD4"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6C64D64B"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 xml:space="preserve">Cateter intravenoso periférico 14g, com agulha em bisel trifacetado e ponta biangular, o que facilita a penetração da pele e como consequência facilita a punção venosa. Cânula em biomaterial teflon ou poliuretano. Estéril, atóxico e apirogênico. Embalagem unitária que garanta a integridade do produto contendo dados de identificação, procedência </w:t>
            </w:r>
            <w:r>
              <w:rPr>
                <w:rFonts w:ascii="Arial" w:eastAsia="Times New Roman" w:hAnsi="Arial" w:cs="Arial"/>
                <w:color w:val="000000"/>
              </w:rPr>
              <w:t xml:space="preserve">e lote. Apresentar </w:t>
            </w:r>
            <w:r>
              <w:rPr>
                <w:rFonts w:ascii="Arial" w:eastAsia="Times New Roman" w:hAnsi="Arial" w:cs="Arial"/>
                <w:color w:val="000000"/>
              </w:rPr>
              <w:lastRenderedPageBreak/>
              <w:t>registro no Ministério da S</w:t>
            </w:r>
            <w:r w:rsidRPr="008022EC">
              <w:rPr>
                <w:rFonts w:ascii="Arial" w:eastAsia="Times New Roman" w:hAnsi="Arial" w:cs="Arial"/>
                <w:color w:val="000000"/>
              </w:rPr>
              <w:t>aúde/ANVISA.</w:t>
            </w:r>
          </w:p>
        </w:tc>
        <w:tc>
          <w:tcPr>
            <w:tcW w:w="1574" w:type="dxa"/>
            <w:shd w:val="clear" w:color="auto" w:fill="auto"/>
            <w:noWrap/>
            <w:hideMark/>
          </w:tcPr>
          <w:p w14:paraId="737DECAF"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lastRenderedPageBreak/>
              <w:t>R$ 1,71</w:t>
            </w:r>
          </w:p>
        </w:tc>
      </w:tr>
      <w:tr w:rsidR="008022EC" w:rsidRPr="008022EC" w14:paraId="42246618" w14:textId="77777777" w:rsidTr="008022EC">
        <w:trPr>
          <w:trHeight w:val="2802"/>
        </w:trPr>
        <w:tc>
          <w:tcPr>
            <w:tcW w:w="846" w:type="dxa"/>
            <w:shd w:val="clear" w:color="auto" w:fill="auto"/>
            <w:noWrap/>
            <w:hideMark/>
          </w:tcPr>
          <w:p w14:paraId="04062487"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3</w:t>
            </w:r>
          </w:p>
        </w:tc>
        <w:tc>
          <w:tcPr>
            <w:tcW w:w="992" w:type="dxa"/>
            <w:shd w:val="clear" w:color="auto" w:fill="auto"/>
            <w:noWrap/>
            <w:hideMark/>
          </w:tcPr>
          <w:p w14:paraId="7AB3F88D"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1000</w:t>
            </w:r>
          </w:p>
        </w:tc>
        <w:tc>
          <w:tcPr>
            <w:tcW w:w="992" w:type="dxa"/>
            <w:shd w:val="clear" w:color="auto" w:fill="auto"/>
            <w:noWrap/>
            <w:hideMark/>
          </w:tcPr>
          <w:p w14:paraId="65532B30"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42ACB4EB"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 xml:space="preserve">Cateter intravenoso periférico 18g, com agulha em bisel trifacetado e ponta biangular, o que facilita a penetração da pele e como consequência facilita a punção venosa. Cânula em biomaterial teflon ou poliuretano. Estéril, atóxico e apirogênico. Embalagem unitária que garanta a integridade do produto contendo dados de identificação, procedência </w:t>
            </w:r>
            <w:r>
              <w:rPr>
                <w:rFonts w:ascii="Arial" w:eastAsia="Times New Roman" w:hAnsi="Arial" w:cs="Arial"/>
                <w:color w:val="000000"/>
              </w:rPr>
              <w:t>e lote. Apresentar registro no Ministério da S</w:t>
            </w:r>
            <w:r w:rsidRPr="008022EC">
              <w:rPr>
                <w:rFonts w:ascii="Arial" w:eastAsia="Times New Roman" w:hAnsi="Arial" w:cs="Arial"/>
                <w:color w:val="000000"/>
              </w:rPr>
              <w:t>aúde/ANVISA.</w:t>
            </w:r>
          </w:p>
        </w:tc>
        <w:tc>
          <w:tcPr>
            <w:tcW w:w="1574" w:type="dxa"/>
            <w:shd w:val="clear" w:color="auto" w:fill="auto"/>
            <w:noWrap/>
            <w:hideMark/>
          </w:tcPr>
          <w:p w14:paraId="76A56519"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R$ 1,44</w:t>
            </w:r>
          </w:p>
        </w:tc>
      </w:tr>
      <w:tr w:rsidR="008022EC" w:rsidRPr="008022EC" w14:paraId="23EA7D47" w14:textId="77777777" w:rsidTr="008022EC">
        <w:trPr>
          <w:trHeight w:val="70"/>
        </w:trPr>
        <w:tc>
          <w:tcPr>
            <w:tcW w:w="846" w:type="dxa"/>
            <w:shd w:val="clear" w:color="auto" w:fill="auto"/>
            <w:noWrap/>
            <w:hideMark/>
          </w:tcPr>
          <w:p w14:paraId="096D83DC"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4</w:t>
            </w:r>
          </w:p>
        </w:tc>
        <w:tc>
          <w:tcPr>
            <w:tcW w:w="992" w:type="dxa"/>
            <w:shd w:val="clear" w:color="auto" w:fill="auto"/>
            <w:noWrap/>
            <w:hideMark/>
          </w:tcPr>
          <w:p w14:paraId="496839EE"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1000</w:t>
            </w:r>
          </w:p>
        </w:tc>
        <w:tc>
          <w:tcPr>
            <w:tcW w:w="992" w:type="dxa"/>
            <w:shd w:val="clear" w:color="auto" w:fill="auto"/>
            <w:noWrap/>
            <w:hideMark/>
          </w:tcPr>
          <w:p w14:paraId="3E834357"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4CBB3F50"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 xml:space="preserve">Cateter intravenoso periférico 20g, com agulha em bisel trifacetado e ponta biangular, o que facilita a penetração da pele e como consequência facilita a punção venosa. Cânula em biomaterial teflon ou poliuretano. Estéril, atóxico e apirogênico. Embalagem unitária que garanta a integridade do produto contendo dados de identificação, procedência </w:t>
            </w:r>
            <w:r>
              <w:rPr>
                <w:rFonts w:ascii="Arial" w:eastAsia="Times New Roman" w:hAnsi="Arial" w:cs="Arial"/>
                <w:color w:val="000000"/>
              </w:rPr>
              <w:t>e lote. Apresentar registro no Ministério da S</w:t>
            </w:r>
            <w:r w:rsidRPr="008022EC">
              <w:rPr>
                <w:rFonts w:ascii="Arial" w:eastAsia="Times New Roman" w:hAnsi="Arial" w:cs="Arial"/>
                <w:color w:val="000000"/>
              </w:rPr>
              <w:t>aúde/ANVISA.</w:t>
            </w:r>
          </w:p>
        </w:tc>
        <w:tc>
          <w:tcPr>
            <w:tcW w:w="1574" w:type="dxa"/>
            <w:shd w:val="clear" w:color="auto" w:fill="auto"/>
            <w:noWrap/>
            <w:hideMark/>
          </w:tcPr>
          <w:p w14:paraId="4678D0AE"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R$ 1,25</w:t>
            </w:r>
          </w:p>
        </w:tc>
      </w:tr>
      <w:tr w:rsidR="008022EC" w:rsidRPr="008022EC" w14:paraId="669C58BD" w14:textId="77777777" w:rsidTr="008022EC">
        <w:trPr>
          <w:trHeight w:val="70"/>
        </w:trPr>
        <w:tc>
          <w:tcPr>
            <w:tcW w:w="846" w:type="dxa"/>
            <w:shd w:val="clear" w:color="auto" w:fill="auto"/>
            <w:noWrap/>
            <w:hideMark/>
          </w:tcPr>
          <w:p w14:paraId="75D4CD01"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5</w:t>
            </w:r>
          </w:p>
        </w:tc>
        <w:tc>
          <w:tcPr>
            <w:tcW w:w="992" w:type="dxa"/>
            <w:shd w:val="clear" w:color="auto" w:fill="auto"/>
            <w:noWrap/>
            <w:hideMark/>
          </w:tcPr>
          <w:p w14:paraId="7FC992C0"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1000</w:t>
            </w:r>
          </w:p>
        </w:tc>
        <w:tc>
          <w:tcPr>
            <w:tcW w:w="992" w:type="dxa"/>
            <w:shd w:val="clear" w:color="auto" w:fill="auto"/>
            <w:noWrap/>
            <w:hideMark/>
          </w:tcPr>
          <w:p w14:paraId="730FC576"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3F17277E"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 xml:space="preserve">Cateter intravenoso periférico 22g, com agulha em bisel trifacetado e ponta biangular, o que facilita a penetração da pele e como consequência facilita a punção venosa. Cânula em biomaterial teflon ou poliuretano. Estéril, atóxico e apirogênico. Embalagem unitária que garanta a integridade do produto contendo dados de identificação, procedência e lote. Apresentar registro no </w:t>
            </w:r>
            <w:r>
              <w:rPr>
                <w:rFonts w:ascii="Arial" w:eastAsia="Times New Roman" w:hAnsi="Arial" w:cs="Arial"/>
                <w:color w:val="000000"/>
              </w:rPr>
              <w:t>Ministério da S</w:t>
            </w:r>
            <w:r w:rsidRPr="008022EC">
              <w:rPr>
                <w:rFonts w:ascii="Arial" w:eastAsia="Times New Roman" w:hAnsi="Arial" w:cs="Arial"/>
                <w:color w:val="000000"/>
              </w:rPr>
              <w:t>aúde/ANVISA.</w:t>
            </w:r>
          </w:p>
        </w:tc>
        <w:tc>
          <w:tcPr>
            <w:tcW w:w="1574" w:type="dxa"/>
            <w:shd w:val="clear" w:color="auto" w:fill="auto"/>
            <w:noWrap/>
            <w:hideMark/>
          </w:tcPr>
          <w:p w14:paraId="7652EEB4"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R$ 1,26</w:t>
            </w:r>
          </w:p>
        </w:tc>
      </w:tr>
      <w:tr w:rsidR="008022EC" w:rsidRPr="008022EC" w14:paraId="52D104DE" w14:textId="77777777" w:rsidTr="008022EC">
        <w:trPr>
          <w:trHeight w:val="1380"/>
        </w:trPr>
        <w:tc>
          <w:tcPr>
            <w:tcW w:w="846" w:type="dxa"/>
            <w:shd w:val="clear" w:color="auto" w:fill="auto"/>
            <w:noWrap/>
            <w:hideMark/>
          </w:tcPr>
          <w:p w14:paraId="1705337D"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6</w:t>
            </w:r>
          </w:p>
        </w:tc>
        <w:tc>
          <w:tcPr>
            <w:tcW w:w="992" w:type="dxa"/>
            <w:shd w:val="clear" w:color="auto" w:fill="auto"/>
            <w:noWrap/>
            <w:hideMark/>
          </w:tcPr>
          <w:p w14:paraId="3D94FA4F"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2000</w:t>
            </w:r>
          </w:p>
        </w:tc>
        <w:tc>
          <w:tcPr>
            <w:tcW w:w="992" w:type="dxa"/>
            <w:shd w:val="clear" w:color="auto" w:fill="auto"/>
            <w:noWrap/>
            <w:hideMark/>
          </w:tcPr>
          <w:p w14:paraId="17536F82"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Pacote</w:t>
            </w:r>
          </w:p>
        </w:tc>
        <w:tc>
          <w:tcPr>
            <w:tcW w:w="4111" w:type="dxa"/>
            <w:shd w:val="clear" w:color="auto" w:fill="auto"/>
            <w:hideMark/>
          </w:tcPr>
          <w:p w14:paraId="76E99AA7"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Gaze hidrófila em compressa. Confeccionada com 13 fios/cm2, em tamanho 7,5x7,5cm fechada e 15x30cm aberta. Com 5 dobras voltadas para dentro e 8 camadas, deve possuir peso mínimo de 500g por pacote e 1,0g por unidade. Embalada em pacote que mantenha sua integridade, com 500 peças, contendo dados de identificação, procedência, lote, número de dobras, número de camadas e demais inf</w:t>
            </w:r>
            <w:r>
              <w:rPr>
                <w:rFonts w:ascii="Arial" w:eastAsia="Times New Roman" w:hAnsi="Arial" w:cs="Arial"/>
                <w:color w:val="000000"/>
              </w:rPr>
              <w:t>ormações adicionais conforme NBR</w:t>
            </w:r>
            <w:r w:rsidRPr="008022EC">
              <w:rPr>
                <w:rFonts w:ascii="Arial" w:eastAsia="Times New Roman" w:hAnsi="Arial" w:cs="Arial"/>
                <w:color w:val="000000"/>
              </w:rPr>
              <w:t xml:space="preserve"> 1384</w:t>
            </w:r>
            <w:r>
              <w:rPr>
                <w:rFonts w:ascii="Arial" w:eastAsia="Times New Roman" w:hAnsi="Arial" w:cs="Arial"/>
                <w:color w:val="000000"/>
              </w:rPr>
              <w:t>3:2009. Apresentar registro no Ministério da S</w:t>
            </w:r>
            <w:r w:rsidRPr="008022EC">
              <w:rPr>
                <w:rFonts w:ascii="Arial" w:eastAsia="Times New Roman" w:hAnsi="Arial" w:cs="Arial"/>
                <w:color w:val="000000"/>
              </w:rPr>
              <w:t>aúde/ANVISA.</w:t>
            </w:r>
          </w:p>
        </w:tc>
        <w:tc>
          <w:tcPr>
            <w:tcW w:w="1574" w:type="dxa"/>
            <w:shd w:val="clear" w:color="auto" w:fill="auto"/>
            <w:noWrap/>
            <w:hideMark/>
          </w:tcPr>
          <w:p w14:paraId="7ADEDCFE"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R$ 37,45</w:t>
            </w:r>
          </w:p>
        </w:tc>
      </w:tr>
      <w:tr w:rsidR="008022EC" w:rsidRPr="008022EC" w14:paraId="143B2471" w14:textId="77777777" w:rsidTr="008022EC">
        <w:trPr>
          <w:trHeight w:val="2700"/>
        </w:trPr>
        <w:tc>
          <w:tcPr>
            <w:tcW w:w="846" w:type="dxa"/>
            <w:shd w:val="clear" w:color="auto" w:fill="auto"/>
            <w:noWrap/>
            <w:hideMark/>
          </w:tcPr>
          <w:p w14:paraId="37B49795"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7</w:t>
            </w:r>
          </w:p>
        </w:tc>
        <w:tc>
          <w:tcPr>
            <w:tcW w:w="992" w:type="dxa"/>
            <w:shd w:val="clear" w:color="auto" w:fill="auto"/>
            <w:noWrap/>
            <w:hideMark/>
          </w:tcPr>
          <w:p w14:paraId="26280E4A"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w:t>
            </w:r>
          </w:p>
        </w:tc>
        <w:tc>
          <w:tcPr>
            <w:tcW w:w="992" w:type="dxa"/>
            <w:shd w:val="clear" w:color="auto" w:fill="auto"/>
            <w:noWrap/>
            <w:hideMark/>
          </w:tcPr>
          <w:p w14:paraId="69B8FA95"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78720DD4"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Lanterna de cabeça LED, alimentação através de bateria recarregável. Possui sensor de movimento infravermelho para acionamento da iluminação com o movimento da palma da mão. Estrutura fabricada em plástico ABS resistente a impactos e quedas. Bateria lithium -</w:t>
            </w:r>
            <w:r>
              <w:rPr>
                <w:rFonts w:ascii="Arial" w:eastAsia="Times New Roman" w:hAnsi="Arial" w:cs="Arial"/>
                <w:color w:val="000000"/>
              </w:rPr>
              <w:t xml:space="preserve"> </w:t>
            </w:r>
            <w:r w:rsidRPr="008022EC">
              <w:rPr>
                <w:rFonts w:ascii="Arial" w:eastAsia="Times New Roman" w:hAnsi="Arial" w:cs="Arial"/>
                <w:color w:val="000000"/>
              </w:rPr>
              <w:t>polímero* de 1500 mAh recarregável através de cabo USB-C (cabo incluso)</w:t>
            </w:r>
          </w:p>
        </w:tc>
        <w:tc>
          <w:tcPr>
            <w:tcW w:w="1574" w:type="dxa"/>
            <w:shd w:val="clear" w:color="auto" w:fill="auto"/>
            <w:noWrap/>
            <w:hideMark/>
          </w:tcPr>
          <w:p w14:paraId="4A8966D7"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R$ 180,86</w:t>
            </w:r>
          </w:p>
        </w:tc>
      </w:tr>
      <w:tr w:rsidR="008022EC" w:rsidRPr="008022EC" w14:paraId="7924D025" w14:textId="77777777" w:rsidTr="008022EC">
        <w:trPr>
          <w:trHeight w:val="268"/>
        </w:trPr>
        <w:tc>
          <w:tcPr>
            <w:tcW w:w="846" w:type="dxa"/>
            <w:shd w:val="clear" w:color="auto" w:fill="auto"/>
            <w:noWrap/>
            <w:hideMark/>
          </w:tcPr>
          <w:p w14:paraId="3BF1D0D4"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8</w:t>
            </w:r>
          </w:p>
        </w:tc>
        <w:tc>
          <w:tcPr>
            <w:tcW w:w="992" w:type="dxa"/>
            <w:shd w:val="clear" w:color="auto" w:fill="auto"/>
            <w:noWrap/>
            <w:hideMark/>
          </w:tcPr>
          <w:p w14:paraId="46E51D52"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w:t>
            </w:r>
          </w:p>
        </w:tc>
        <w:tc>
          <w:tcPr>
            <w:tcW w:w="992" w:type="dxa"/>
            <w:shd w:val="clear" w:color="auto" w:fill="auto"/>
            <w:noWrap/>
            <w:hideMark/>
          </w:tcPr>
          <w:p w14:paraId="5EA2B77E"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23663B69"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 xml:space="preserve">Lanterna LED, no mínimo 9.500 lumens, com regulagem de foco / zoom telescópica total de 0x a 3000X, com bateria recarregável 21700, com sistema de acionamento tático na lateral, com 5 modos de funcionamento, Luz forte, Luz média, Modo econômico, Strobo e SOS. Distância de alcance: 500 a 2000m. </w:t>
            </w:r>
          </w:p>
        </w:tc>
        <w:tc>
          <w:tcPr>
            <w:tcW w:w="1574" w:type="dxa"/>
            <w:shd w:val="clear" w:color="auto" w:fill="auto"/>
            <w:noWrap/>
            <w:hideMark/>
          </w:tcPr>
          <w:p w14:paraId="2401EE6F"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R$ 171,83</w:t>
            </w:r>
          </w:p>
        </w:tc>
      </w:tr>
      <w:tr w:rsidR="008022EC" w:rsidRPr="008022EC" w14:paraId="0636083A" w14:textId="77777777" w:rsidTr="008022EC">
        <w:trPr>
          <w:trHeight w:val="96"/>
        </w:trPr>
        <w:tc>
          <w:tcPr>
            <w:tcW w:w="846" w:type="dxa"/>
            <w:shd w:val="clear" w:color="auto" w:fill="auto"/>
            <w:noWrap/>
            <w:hideMark/>
          </w:tcPr>
          <w:p w14:paraId="145201A6"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9</w:t>
            </w:r>
          </w:p>
        </w:tc>
        <w:tc>
          <w:tcPr>
            <w:tcW w:w="992" w:type="dxa"/>
            <w:shd w:val="clear" w:color="auto" w:fill="auto"/>
            <w:noWrap/>
            <w:hideMark/>
          </w:tcPr>
          <w:p w14:paraId="2915E77E"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w:t>
            </w:r>
          </w:p>
        </w:tc>
        <w:tc>
          <w:tcPr>
            <w:tcW w:w="992" w:type="dxa"/>
            <w:shd w:val="clear" w:color="auto" w:fill="auto"/>
            <w:noWrap/>
            <w:hideMark/>
          </w:tcPr>
          <w:p w14:paraId="485E8A5D"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6DEEF776"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Luva de resgate veicular com resistência a abrasão, rasgo e perfuração no nível 4 e resistência a corte, com teste de impacto aprovado. Lavável.</w:t>
            </w:r>
          </w:p>
        </w:tc>
        <w:tc>
          <w:tcPr>
            <w:tcW w:w="1574" w:type="dxa"/>
            <w:shd w:val="clear" w:color="auto" w:fill="auto"/>
            <w:noWrap/>
            <w:hideMark/>
          </w:tcPr>
          <w:p w14:paraId="0398565E"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R$ 403,80</w:t>
            </w:r>
          </w:p>
        </w:tc>
      </w:tr>
      <w:tr w:rsidR="008022EC" w:rsidRPr="008022EC" w14:paraId="7C11C81A" w14:textId="77777777" w:rsidTr="008022EC">
        <w:trPr>
          <w:trHeight w:val="3085"/>
        </w:trPr>
        <w:tc>
          <w:tcPr>
            <w:tcW w:w="846" w:type="dxa"/>
            <w:shd w:val="clear" w:color="auto" w:fill="auto"/>
            <w:noWrap/>
            <w:hideMark/>
          </w:tcPr>
          <w:p w14:paraId="61E655C3"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w:t>
            </w:r>
          </w:p>
        </w:tc>
        <w:tc>
          <w:tcPr>
            <w:tcW w:w="992" w:type="dxa"/>
            <w:shd w:val="clear" w:color="auto" w:fill="auto"/>
            <w:noWrap/>
            <w:hideMark/>
          </w:tcPr>
          <w:p w14:paraId="5C74F89F"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1000</w:t>
            </w:r>
          </w:p>
        </w:tc>
        <w:tc>
          <w:tcPr>
            <w:tcW w:w="992" w:type="dxa"/>
            <w:shd w:val="clear" w:color="auto" w:fill="auto"/>
            <w:noWrap/>
            <w:hideMark/>
          </w:tcPr>
          <w:p w14:paraId="0E72E35A"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Caixa</w:t>
            </w:r>
          </w:p>
        </w:tc>
        <w:tc>
          <w:tcPr>
            <w:tcW w:w="4111" w:type="dxa"/>
            <w:shd w:val="clear" w:color="auto" w:fill="auto"/>
            <w:hideMark/>
          </w:tcPr>
          <w:p w14:paraId="6888A346"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Máscara cirúrgica tripla com elástico. Confeccionada em não tecido, agradável ao toque e macia, com 3 dobras, tripla camada com filtro proporcionando uma bfe (eficiência de filtração bacteriana) maior que 95%; camadas soldadas eletronicamente por ultrassom. O elástico deve ser resistente e ter no mínimo 10cm de comprimento. Deve conter clipe nasal de tira maleável e revestido, preso a máscara, sem se projetar para fora, sem contato direto com a pele, medindo no mínimo 10cm de comprimento. Cor branca. Caixa com no mínimo 50 unidades, com dados de identificação, validade e número do</w:t>
            </w:r>
            <w:r>
              <w:rPr>
                <w:rFonts w:ascii="Arial" w:eastAsia="Times New Roman" w:hAnsi="Arial" w:cs="Arial"/>
                <w:color w:val="000000"/>
              </w:rPr>
              <w:t xml:space="preserve"> lote, em conformidade com a NBR</w:t>
            </w:r>
            <w:r w:rsidRPr="008022EC">
              <w:rPr>
                <w:rFonts w:ascii="Arial" w:eastAsia="Times New Roman" w:hAnsi="Arial" w:cs="Arial"/>
                <w:color w:val="000000"/>
              </w:rPr>
              <w:t xml:space="preserve"> 1505</w:t>
            </w:r>
            <w:r>
              <w:rPr>
                <w:rFonts w:ascii="Arial" w:eastAsia="Times New Roman" w:hAnsi="Arial" w:cs="Arial"/>
                <w:color w:val="000000"/>
              </w:rPr>
              <w:t>2:2021. Apresentar registro no Ministério da S</w:t>
            </w:r>
            <w:r w:rsidRPr="008022EC">
              <w:rPr>
                <w:rFonts w:ascii="Arial" w:eastAsia="Times New Roman" w:hAnsi="Arial" w:cs="Arial"/>
                <w:color w:val="000000"/>
              </w:rPr>
              <w:t xml:space="preserve">aúde/ANVISA. </w:t>
            </w:r>
          </w:p>
        </w:tc>
        <w:tc>
          <w:tcPr>
            <w:tcW w:w="1574" w:type="dxa"/>
            <w:shd w:val="clear" w:color="auto" w:fill="auto"/>
            <w:noWrap/>
            <w:hideMark/>
          </w:tcPr>
          <w:p w14:paraId="5CEC9B61"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R$ 9,86</w:t>
            </w:r>
          </w:p>
        </w:tc>
      </w:tr>
      <w:tr w:rsidR="008022EC" w:rsidRPr="008022EC" w14:paraId="7876599B" w14:textId="77777777" w:rsidTr="008022EC">
        <w:trPr>
          <w:trHeight w:val="70"/>
        </w:trPr>
        <w:tc>
          <w:tcPr>
            <w:tcW w:w="846" w:type="dxa"/>
            <w:shd w:val="clear" w:color="auto" w:fill="auto"/>
            <w:noWrap/>
            <w:hideMark/>
          </w:tcPr>
          <w:p w14:paraId="513694EA"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11</w:t>
            </w:r>
          </w:p>
        </w:tc>
        <w:tc>
          <w:tcPr>
            <w:tcW w:w="992" w:type="dxa"/>
            <w:shd w:val="clear" w:color="auto" w:fill="auto"/>
            <w:noWrap/>
            <w:hideMark/>
          </w:tcPr>
          <w:p w14:paraId="35FBBE6F"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15</w:t>
            </w:r>
          </w:p>
        </w:tc>
        <w:tc>
          <w:tcPr>
            <w:tcW w:w="992" w:type="dxa"/>
            <w:shd w:val="clear" w:color="auto" w:fill="auto"/>
            <w:noWrap/>
            <w:hideMark/>
          </w:tcPr>
          <w:p w14:paraId="15C5719B" w14:textId="77777777" w:rsidR="008022EC" w:rsidRPr="008022EC" w:rsidRDefault="008022EC" w:rsidP="008022EC">
            <w:pPr>
              <w:rPr>
                <w:rFonts w:ascii="Arial" w:eastAsia="Times New Roman" w:hAnsi="Arial" w:cs="Arial"/>
                <w:color w:val="000000"/>
              </w:rPr>
            </w:pPr>
            <w:r w:rsidRPr="008022EC">
              <w:rPr>
                <w:rFonts w:ascii="Arial" w:eastAsia="Times New Roman" w:hAnsi="Arial" w:cs="Arial"/>
                <w:color w:val="000000"/>
              </w:rPr>
              <w:t>Unid.</w:t>
            </w:r>
          </w:p>
        </w:tc>
        <w:tc>
          <w:tcPr>
            <w:tcW w:w="4111" w:type="dxa"/>
            <w:shd w:val="clear" w:color="auto" w:fill="auto"/>
            <w:hideMark/>
          </w:tcPr>
          <w:p w14:paraId="52A41383" w14:textId="77777777" w:rsidR="008022EC" w:rsidRPr="008022EC" w:rsidRDefault="008022EC" w:rsidP="008022EC">
            <w:pPr>
              <w:jc w:val="both"/>
              <w:rPr>
                <w:rFonts w:ascii="Arial" w:eastAsia="Times New Roman" w:hAnsi="Arial" w:cs="Arial"/>
                <w:color w:val="000000"/>
              </w:rPr>
            </w:pPr>
            <w:r w:rsidRPr="008022EC">
              <w:rPr>
                <w:rFonts w:ascii="Arial" w:eastAsia="Times New Roman" w:hAnsi="Arial" w:cs="Arial"/>
                <w:color w:val="000000"/>
              </w:rPr>
              <w:t>Máscara de oxigênio com bolsa r</w:t>
            </w:r>
            <w:r>
              <w:rPr>
                <w:rFonts w:ascii="Arial" w:eastAsia="Times New Roman" w:hAnsi="Arial" w:cs="Arial"/>
                <w:color w:val="000000"/>
              </w:rPr>
              <w:t xml:space="preserve">eservatório e de não reinalação, </w:t>
            </w:r>
            <w:r w:rsidRPr="008022EC">
              <w:rPr>
                <w:rFonts w:ascii="Arial" w:eastAsia="Times New Roman" w:hAnsi="Arial" w:cs="Arial"/>
                <w:color w:val="000000"/>
              </w:rPr>
              <w:t>Adulto. Transparente, de vinil macio, para conforto do paciente e avaliação visual. Presilha ajustável de nariz que assegura uma fixação confortável.</w:t>
            </w:r>
            <w:r>
              <w:rPr>
                <w:rFonts w:ascii="Arial" w:eastAsia="Times New Roman" w:hAnsi="Arial" w:cs="Arial"/>
                <w:color w:val="000000"/>
              </w:rPr>
              <w:t xml:space="preserve"> </w:t>
            </w:r>
            <w:r w:rsidRPr="008022EC">
              <w:rPr>
                <w:rFonts w:ascii="Arial" w:eastAsia="Times New Roman" w:hAnsi="Arial" w:cs="Arial"/>
                <w:color w:val="000000"/>
              </w:rPr>
              <w:t>Válvulas para regular a saída do gás expirado pelo paciente e válvula anti refluxo. Acompanhado de reservatório com objetivo de fornecer oxigênio em altas concentrações, extensão de PVC transparente verde medindo no mínimo 1,5 metros, com conexão para a fonte de oxigênio. Possuir registro na ANVISA/MS. Entrega com, no mínimo, 80% do prazo de validade.</w:t>
            </w:r>
          </w:p>
        </w:tc>
        <w:tc>
          <w:tcPr>
            <w:tcW w:w="1574" w:type="dxa"/>
            <w:shd w:val="clear" w:color="auto" w:fill="auto"/>
            <w:noWrap/>
            <w:hideMark/>
          </w:tcPr>
          <w:p w14:paraId="7B8D5803" w14:textId="77777777" w:rsidR="008022EC" w:rsidRPr="008022EC" w:rsidRDefault="008022EC" w:rsidP="008022EC">
            <w:pPr>
              <w:jc w:val="right"/>
              <w:rPr>
                <w:rFonts w:ascii="Arial" w:eastAsia="Times New Roman" w:hAnsi="Arial" w:cs="Arial"/>
                <w:color w:val="000000"/>
              </w:rPr>
            </w:pPr>
            <w:r w:rsidRPr="008022EC">
              <w:rPr>
                <w:rFonts w:ascii="Arial" w:eastAsia="Times New Roman" w:hAnsi="Arial" w:cs="Arial"/>
                <w:color w:val="000000"/>
              </w:rPr>
              <w:t>R$ 35,17</w:t>
            </w:r>
          </w:p>
        </w:tc>
      </w:tr>
    </w:tbl>
    <w:p w14:paraId="6F588C83" w14:textId="77777777" w:rsidR="00D66C03" w:rsidRPr="00732EC9" w:rsidRDefault="00D66C03" w:rsidP="002D34FC">
      <w:pPr>
        <w:pStyle w:val="Nivel2"/>
        <w:numPr>
          <w:ilvl w:val="0"/>
          <w:numId w:val="0"/>
        </w:numPr>
        <w:spacing w:before="0" w:after="0" w:line="240" w:lineRule="auto"/>
        <w:ind w:right="-1"/>
        <w:rPr>
          <w:sz w:val="24"/>
          <w:szCs w:val="24"/>
        </w:rPr>
      </w:pPr>
    </w:p>
    <w:p w14:paraId="33136B83" w14:textId="77777777" w:rsidR="00D66C03" w:rsidRPr="008B0B12" w:rsidRDefault="00D66C03" w:rsidP="002D34FC">
      <w:pPr>
        <w:pStyle w:val="Nivel2"/>
        <w:spacing w:before="0" w:after="0" w:line="240" w:lineRule="auto"/>
        <w:ind w:left="0" w:right="-1" w:firstLine="0"/>
        <w:rPr>
          <w:sz w:val="24"/>
          <w:szCs w:val="24"/>
        </w:rPr>
      </w:pPr>
      <w:r w:rsidRPr="00732EC9">
        <w:rPr>
          <w:sz w:val="24"/>
          <w:szCs w:val="24"/>
        </w:rPr>
        <w:t xml:space="preserve">O objeto desta contratação não se enquadra como sendo de bem de luxo, conforme </w:t>
      </w:r>
      <w:r w:rsidRPr="008B0B12">
        <w:rPr>
          <w:sz w:val="24"/>
          <w:szCs w:val="24"/>
        </w:rPr>
        <w:t>Art. 20 da Lei 14.133/2021.</w:t>
      </w:r>
    </w:p>
    <w:p w14:paraId="0B10460D" w14:textId="77777777" w:rsidR="00D66C03" w:rsidRPr="008B0B12" w:rsidRDefault="00D66C03" w:rsidP="002D34FC">
      <w:pPr>
        <w:pStyle w:val="Nivel2"/>
        <w:spacing w:before="0" w:after="0" w:line="240" w:lineRule="auto"/>
        <w:ind w:left="0" w:right="-1" w:firstLine="0"/>
        <w:rPr>
          <w:sz w:val="24"/>
          <w:szCs w:val="24"/>
        </w:rPr>
      </w:pPr>
      <w:r w:rsidRPr="008B0B12">
        <w:rPr>
          <w:sz w:val="24"/>
          <w:szCs w:val="24"/>
        </w:rPr>
        <w:t>Os bens objeto desta contratação são caracterizados como comuns.</w:t>
      </w:r>
    </w:p>
    <w:p w14:paraId="0A5C22D0" w14:textId="77777777" w:rsidR="00D66C03" w:rsidRPr="008B0B12" w:rsidRDefault="00D66C03" w:rsidP="002D34FC">
      <w:pPr>
        <w:pStyle w:val="Nvel2-Red"/>
        <w:spacing w:before="0" w:after="0" w:line="240" w:lineRule="auto"/>
        <w:ind w:left="0" w:right="-1" w:hanging="7"/>
        <w:rPr>
          <w:color w:val="auto"/>
          <w:sz w:val="24"/>
          <w:szCs w:val="24"/>
        </w:rPr>
      </w:pPr>
      <w:r w:rsidRPr="008B0B12">
        <w:rPr>
          <w:i w:val="0"/>
          <w:iCs w:val="0"/>
          <w:color w:val="auto"/>
          <w:sz w:val="24"/>
          <w:szCs w:val="24"/>
        </w:rPr>
        <w:t>O prazo de vigência da contratação é de no máximo de 5 anos contados da assinatura do contrato, prorrogável por até 10 anos, na forma dos artigos 106 e 107 da Lei n° 14.133, de 2021.</w:t>
      </w:r>
    </w:p>
    <w:p w14:paraId="0BB040FC"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contrato oferece maior detalhamento das regras que serão aplicadas em relação à vigência da contratação.</w:t>
      </w:r>
    </w:p>
    <w:p w14:paraId="03B9B89A" w14:textId="77777777" w:rsidR="00D66C03" w:rsidRPr="00732EC9" w:rsidRDefault="00D66C03" w:rsidP="002D34FC">
      <w:pPr>
        <w:pStyle w:val="Nivel2"/>
        <w:numPr>
          <w:ilvl w:val="0"/>
          <w:numId w:val="0"/>
        </w:numPr>
        <w:spacing w:before="0" w:after="0" w:line="240" w:lineRule="auto"/>
        <w:ind w:right="-1"/>
        <w:rPr>
          <w:sz w:val="24"/>
          <w:szCs w:val="24"/>
        </w:rPr>
      </w:pPr>
    </w:p>
    <w:p w14:paraId="06EB9024" w14:textId="77777777" w:rsidR="00D66C03" w:rsidRPr="00732EC9" w:rsidRDefault="00D66C03" w:rsidP="002D34FC">
      <w:pPr>
        <w:pStyle w:val="Nivel01"/>
        <w:spacing w:before="0"/>
        <w:ind w:left="0" w:right="-1" w:firstLine="0"/>
        <w:jc w:val="left"/>
        <w:rPr>
          <w:sz w:val="24"/>
          <w:szCs w:val="24"/>
        </w:rPr>
      </w:pPr>
      <w:bookmarkStart w:id="2" w:name="_Toc147911326"/>
      <w:r w:rsidRPr="00732EC9">
        <w:rPr>
          <w:sz w:val="24"/>
          <w:szCs w:val="24"/>
        </w:rPr>
        <w:t>FUNDAMENTAÇÃO E DESCRIÇÃO DA NECESSIDADE DA CONTRATAÇÃO</w:t>
      </w:r>
      <w:bookmarkEnd w:id="2"/>
    </w:p>
    <w:p w14:paraId="16055E4B" w14:textId="77777777" w:rsidR="00D66C03" w:rsidRPr="00732EC9" w:rsidRDefault="00D66C03" w:rsidP="002D34FC">
      <w:pPr>
        <w:ind w:right="-1"/>
        <w:rPr>
          <w:rFonts w:ascii="Arial" w:hAnsi="Arial" w:cs="Arial"/>
        </w:rPr>
      </w:pPr>
    </w:p>
    <w:p w14:paraId="66FF12F9" w14:textId="77777777" w:rsidR="00D66C03" w:rsidRPr="008B0B12" w:rsidRDefault="00D66C03" w:rsidP="002D34FC">
      <w:pPr>
        <w:pStyle w:val="Nivel2"/>
        <w:spacing w:before="0" w:after="0" w:line="240" w:lineRule="auto"/>
        <w:ind w:left="0" w:right="-1" w:firstLine="0"/>
        <w:rPr>
          <w:sz w:val="24"/>
          <w:szCs w:val="24"/>
        </w:rPr>
      </w:pPr>
      <w:r w:rsidRPr="00732EC9">
        <w:rPr>
          <w:sz w:val="24"/>
          <w:szCs w:val="24"/>
        </w:rPr>
        <w:t>A Fundamentação da Contratação e de seus quantitativos encontra-se pormenorizada em Tópico específico dos Estudos Técnicos Preliminares, apêndice deste Termo de Referência.</w:t>
      </w:r>
    </w:p>
    <w:p w14:paraId="6287CF58" w14:textId="77777777" w:rsidR="00D66C03" w:rsidRDefault="00D66C03" w:rsidP="002D34FC">
      <w:pPr>
        <w:pStyle w:val="Nivel2"/>
        <w:numPr>
          <w:ilvl w:val="0"/>
          <w:numId w:val="4"/>
        </w:numPr>
        <w:spacing w:before="0" w:after="0" w:line="240" w:lineRule="auto"/>
        <w:ind w:left="0" w:right="-1" w:firstLine="0"/>
        <w:contextualSpacing/>
        <w:rPr>
          <w:color w:val="auto"/>
          <w:sz w:val="24"/>
          <w:szCs w:val="24"/>
        </w:rPr>
      </w:pPr>
      <w:r w:rsidRPr="003E3BB7">
        <w:rPr>
          <w:color w:val="auto"/>
          <w:sz w:val="24"/>
          <w:szCs w:val="24"/>
        </w:rPr>
        <w:t xml:space="preserve">O objeto da contratação </w:t>
      </w:r>
      <w:r w:rsidR="00357C59">
        <w:rPr>
          <w:color w:val="auto"/>
          <w:sz w:val="24"/>
          <w:szCs w:val="24"/>
        </w:rPr>
        <w:t>não</w:t>
      </w:r>
      <w:r w:rsidRPr="003E3BB7">
        <w:rPr>
          <w:color w:val="auto"/>
          <w:sz w:val="24"/>
          <w:szCs w:val="24"/>
        </w:rPr>
        <w:t xml:space="preserve"> está previsto no Plano de Contratações Anual;</w:t>
      </w:r>
    </w:p>
    <w:p w14:paraId="0F2A4A99" w14:textId="77777777" w:rsidR="007A15F3" w:rsidRPr="003E3BB7" w:rsidRDefault="007A15F3" w:rsidP="007A15F3">
      <w:pPr>
        <w:pStyle w:val="Nivel2"/>
        <w:numPr>
          <w:ilvl w:val="0"/>
          <w:numId w:val="0"/>
        </w:numPr>
        <w:spacing w:before="0" w:after="0" w:line="240" w:lineRule="auto"/>
        <w:ind w:right="-1"/>
        <w:contextualSpacing/>
        <w:rPr>
          <w:color w:val="auto"/>
          <w:sz w:val="24"/>
          <w:szCs w:val="24"/>
        </w:rPr>
      </w:pPr>
    </w:p>
    <w:p w14:paraId="647C8B13" w14:textId="77777777" w:rsidR="00D66C03" w:rsidRDefault="00D66C03" w:rsidP="007A15F3">
      <w:pPr>
        <w:pStyle w:val="Nivel01"/>
        <w:spacing w:before="0" w:line="276" w:lineRule="auto"/>
        <w:ind w:left="0" w:right="-1" w:firstLine="0"/>
        <w:jc w:val="left"/>
        <w:rPr>
          <w:sz w:val="24"/>
        </w:rPr>
      </w:pPr>
      <w:r w:rsidRPr="00D66C03">
        <w:rPr>
          <w:sz w:val="24"/>
        </w:rPr>
        <w:t>DESCRIÇÃO DA SOLUÇÃO COMO UM TODO CONSIDERADO O CICLO DE VIDA DO OBJETO E ESPECIFICAÇÃO DO PRODUTO</w:t>
      </w:r>
    </w:p>
    <w:p w14:paraId="18F03A49" w14:textId="77777777" w:rsidR="007A15F3" w:rsidRPr="007A15F3" w:rsidRDefault="007A15F3" w:rsidP="007A15F3"/>
    <w:p w14:paraId="52F8C8F4" w14:textId="77777777" w:rsidR="00D66C03" w:rsidRPr="007A15F3" w:rsidRDefault="00D66C03" w:rsidP="007A15F3">
      <w:pPr>
        <w:pStyle w:val="Nvel2-Red"/>
        <w:spacing w:before="0" w:after="0" w:line="240" w:lineRule="auto"/>
        <w:ind w:left="0" w:right="-1" w:firstLine="0"/>
        <w:rPr>
          <w:i w:val="0"/>
          <w:color w:val="auto"/>
          <w:sz w:val="24"/>
        </w:rPr>
      </w:pPr>
      <w:r w:rsidRPr="007A15F3">
        <w:rPr>
          <w:i w:val="0"/>
          <w:color w:val="auto"/>
          <w:sz w:val="24"/>
        </w:rPr>
        <w:t>A descrição da solução como um todo encontra-se pormenorizada em tópico específico dos Estudos Técnicos Preliminares, apêndice deste Termo de Referência.</w:t>
      </w:r>
    </w:p>
    <w:p w14:paraId="2D420897" w14:textId="77777777" w:rsidR="00D66C03" w:rsidRPr="00732EC9" w:rsidRDefault="00D66C03" w:rsidP="002D34FC">
      <w:pPr>
        <w:ind w:right="-1"/>
        <w:rPr>
          <w:rFonts w:ascii="Arial" w:hAnsi="Arial" w:cs="Arial"/>
        </w:rPr>
      </w:pPr>
    </w:p>
    <w:p w14:paraId="59505B6D" w14:textId="77777777" w:rsidR="00D66C03" w:rsidRPr="00732EC9" w:rsidRDefault="00D66C03" w:rsidP="002D34FC">
      <w:pPr>
        <w:pStyle w:val="Nivel01"/>
        <w:spacing w:before="0"/>
        <w:ind w:left="0" w:right="-1" w:firstLine="0"/>
        <w:jc w:val="left"/>
        <w:rPr>
          <w:sz w:val="24"/>
          <w:szCs w:val="24"/>
        </w:rPr>
      </w:pPr>
      <w:bookmarkStart w:id="3" w:name="_Toc147911327"/>
      <w:r w:rsidRPr="00732EC9">
        <w:rPr>
          <w:sz w:val="24"/>
          <w:szCs w:val="24"/>
        </w:rPr>
        <w:t>MODELO DE EXECUÇÃO DO OBJETO</w:t>
      </w:r>
      <w:bookmarkEnd w:id="3"/>
    </w:p>
    <w:p w14:paraId="7AD044E1" w14:textId="77777777" w:rsidR="00D66C03" w:rsidRPr="00732EC9" w:rsidRDefault="00D66C03" w:rsidP="002D34FC">
      <w:pPr>
        <w:ind w:right="-1"/>
        <w:rPr>
          <w:rFonts w:ascii="Arial" w:hAnsi="Arial" w:cs="Arial"/>
        </w:rPr>
      </w:pPr>
    </w:p>
    <w:p w14:paraId="22EF553D"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8022EC">
        <w:rPr>
          <w:i w:val="0"/>
          <w:iCs w:val="0"/>
          <w:color w:val="auto"/>
          <w:sz w:val="24"/>
          <w:szCs w:val="24"/>
        </w:rPr>
        <w:t xml:space="preserve">O prazo de entrega dos bens é de </w:t>
      </w:r>
      <w:r w:rsidR="008022EC">
        <w:rPr>
          <w:i w:val="0"/>
          <w:iCs w:val="0"/>
          <w:color w:val="auto"/>
          <w:sz w:val="24"/>
          <w:szCs w:val="24"/>
        </w:rPr>
        <w:t>15</w:t>
      </w:r>
      <w:r w:rsidRPr="008022EC">
        <w:rPr>
          <w:i w:val="0"/>
          <w:iCs w:val="0"/>
          <w:color w:val="auto"/>
          <w:sz w:val="24"/>
          <w:szCs w:val="24"/>
        </w:rPr>
        <w:t xml:space="preserve"> dias, contados do recebimento da </w:t>
      </w:r>
      <w:r>
        <w:rPr>
          <w:i w:val="0"/>
          <w:iCs w:val="0"/>
          <w:color w:val="auto"/>
          <w:sz w:val="24"/>
          <w:szCs w:val="24"/>
        </w:rPr>
        <w:t>autorização de fornecimento.</w:t>
      </w:r>
      <w:r w:rsidRPr="00913077">
        <w:rPr>
          <w:i w:val="0"/>
          <w:iCs w:val="0"/>
          <w:color w:val="auto"/>
          <w:sz w:val="24"/>
          <w:szCs w:val="24"/>
        </w:rPr>
        <w:t xml:space="preserve"> </w:t>
      </w:r>
    </w:p>
    <w:p w14:paraId="52A5D568"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Caso não seja possível a entrega na data assinalada, a empresa deverá comunicar as razões respectivas com pelo menos </w:t>
      </w:r>
      <w:r>
        <w:rPr>
          <w:i w:val="0"/>
          <w:iCs w:val="0"/>
          <w:color w:val="auto"/>
          <w:sz w:val="24"/>
          <w:szCs w:val="24"/>
        </w:rPr>
        <w:t>5</w:t>
      </w:r>
      <w:r w:rsidRPr="00913077">
        <w:rPr>
          <w:i w:val="0"/>
          <w:iCs w:val="0"/>
          <w:color w:val="auto"/>
          <w:sz w:val="24"/>
          <w:szCs w:val="24"/>
        </w:rPr>
        <w:t xml:space="preserve"> dias de antecedência para que qualquer pleito de prorrogação de prazo seja analisado, ressalvadas situações de caso fortuito e força maior.</w:t>
      </w:r>
    </w:p>
    <w:p w14:paraId="3EF8E53A" w14:textId="77777777" w:rsidR="00D66C03" w:rsidRPr="0017218D" w:rsidRDefault="00D66C03" w:rsidP="002D34FC">
      <w:pPr>
        <w:pStyle w:val="Nivel2"/>
        <w:spacing w:before="0" w:after="0" w:line="240" w:lineRule="auto"/>
        <w:ind w:left="0" w:right="-1" w:firstLine="0"/>
        <w:rPr>
          <w:color w:val="auto"/>
          <w:sz w:val="24"/>
          <w:szCs w:val="24"/>
          <w:highlight w:val="yellow"/>
        </w:rPr>
      </w:pPr>
      <w:r w:rsidRPr="0017218D">
        <w:rPr>
          <w:color w:val="auto"/>
          <w:sz w:val="24"/>
          <w:szCs w:val="24"/>
          <w:highlight w:val="yellow"/>
        </w:rPr>
        <w:t>Os bens deverão ser entregues no seguinte endereço: Av. Major Generoso, 350, Centro, Bom Retiro/SC.</w:t>
      </w:r>
    </w:p>
    <w:p w14:paraId="6D7EB1DE"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O prazo de garantia contratual dos bens, complementar à garantia legal, será de, no mínimo,</w:t>
      </w:r>
      <w:r>
        <w:rPr>
          <w:i w:val="0"/>
          <w:iCs w:val="0"/>
          <w:color w:val="auto"/>
          <w:sz w:val="24"/>
          <w:szCs w:val="24"/>
        </w:rPr>
        <w:t xml:space="preserve"> 3</w:t>
      </w:r>
      <w:r w:rsidRPr="00913077">
        <w:rPr>
          <w:i w:val="0"/>
          <w:iCs w:val="0"/>
          <w:color w:val="auto"/>
          <w:sz w:val="24"/>
          <w:szCs w:val="24"/>
        </w:rPr>
        <w:t xml:space="preserve"> meses, contado a partir do primeiro dia útil subsequente à data do recebimento definitivo do objeto. </w:t>
      </w:r>
    </w:p>
    <w:p w14:paraId="307A7CA6"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Caso o prazo da garantia oferecida pelo fabricante seja inferior ao estabelecido nesta cláusula, o fornecedor deverá complementar a garantia do bem ofertado pelo período restante. </w:t>
      </w:r>
    </w:p>
    <w:p w14:paraId="660CAE77"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 garantia será prestada com vistas a manter os equipamentos fornecidos em perfeitas condições de uso, sem qualquer ônus ou custo adicional para o Contratante. </w:t>
      </w:r>
    </w:p>
    <w:p w14:paraId="0F8DF3FC"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 garantia abrange a realização da manutenção corretiva dos bens pelo próprio Contratado, ou, se for o caso, por meio de assistência técnica autorizada, de acordo com as normas técnicas específicas. </w:t>
      </w:r>
    </w:p>
    <w:p w14:paraId="53D5BB79"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Entende-se por manutenção corretiva aquela destinada a corrigir os defeitos apresentados pelos bens, compreendendo a substituição de peças, a realização de ajustes, reparos e correções necessárias. </w:t>
      </w:r>
    </w:p>
    <w:p w14:paraId="49860240"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111D4E"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Uma vez notificado, o Contratado realizará a reparação ou substituição dos bens que apresentarem vício ou defeito no prazo de até </w:t>
      </w:r>
      <w:r>
        <w:rPr>
          <w:i w:val="0"/>
          <w:iCs w:val="0"/>
          <w:color w:val="auto"/>
          <w:sz w:val="24"/>
          <w:szCs w:val="24"/>
        </w:rPr>
        <w:t>15</w:t>
      </w:r>
      <w:r w:rsidRPr="00913077">
        <w:rPr>
          <w:i w:val="0"/>
          <w:iCs w:val="0"/>
          <w:color w:val="auto"/>
          <w:sz w:val="24"/>
          <w:szCs w:val="24"/>
        </w:rPr>
        <w:t xml:space="preserve"> dias úteis, contados a partir da data de retirada do equipamento das dependências da Administração pelo Contratado ou pela assistência técnica autorizada. </w:t>
      </w:r>
    </w:p>
    <w:p w14:paraId="6C9DFAD2"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O prazo indicado no subitem anterior, durante seu transcurso, poderá ser prorrogado uma única vez, por igual período, mediante solicitação escrita e justificada do Contratado, aceita pelo Contratante. </w:t>
      </w:r>
    </w:p>
    <w:p w14:paraId="03AC410E"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024865D2"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2E76D174"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O custo referente ao transporte dos equipamentos cobertos pela garantia será de responsabilidade do Contratado. </w:t>
      </w:r>
    </w:p>
    <w:p w14:paraId="1F4E1068"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0D83848" w14:textId="77777777" w:rsidR="00D66C03" w:rsidRPr="00732EC9" w:rsidRDefault="00D66C03" w:rsidP="002D34FC">
      <w:pPr>
        <w:pStyle w:val="Nvel2-Red"/>
        <w:numPr>
          <w:ilvl w:val="0"/>
          <w:numId w:val="0"/>
        </w:numPr>
        <w:spacing w:before="0" w:after="0" w:line="240" w:lineRule="auto"/>
        <w:ind w:right="-1"/>
        <w:rPr>
          <w:sz w:val="24"/>
          <w:szCs w:val="24"/>
        </w:rPr>
      </w:pPr>
    </w:p>
    <w:p w14:paraId="51F3D51B" w14:textId="77777777" w:rsidR="00D66C03" w:rsidRPr="00732EC9" w:rsidRDefault="00D66C03" w:rsidP="002D34FC">
      <w:pPr>
        <w:pStyle w:val="Nivel01"/>
        <w:spacing w:before="0"/>
        <w:ind w:left="0" w:right="-1" w:firstLine="0"/>
        <w:jc w:val="left"/>
        <w:rPr>
          <w:sz w:val="24"/>
          <w:szCs w:val="24"/>
        </w:rPr>
      </w:pPr>
      <w:bookmarkStart w:id="4" w:name="_Toc147911328"/>
      <w:r w:rsidRPr="00732EC9">
        <w:rPr>
          <w:sz w:val="24"/>
          <w:szCs w:val="24"/>
        </w:rPr>
        <w:t>MODELO DE GESTÃO DO CONTRATO</w:t>
      </w:r>
      <w:bookmarkEnd w:id="4"/>
    </w:p>
    <w:p w14:paraId="12435A6F" w14:textId="77777777" w:rsidR="00D66C03" w:rsidRPr="00732EC9" w:rsidRDefault="00D66C03" w:rsidP="002D34FC">
      <w:pPr>
        <w:ind w:right="-1"/>
        <w:rPr>
          <w:rFonts w:ascii="Arial" w:hAnsi="Arial" w:cs="Arial"/>
        </w:rPr>
      </w:pPr>
    </w:p>
    <w:p w14:paraId="3CF0FDD6" w14:textId="77777777" w:rsidR="00D66C03" w:rsidRPr="00732EC9" w:rsidRDefault="00D66C03" w:rsidP="002D34FC">
      <w:pPr>
        <w:pStyle w:val="Nivel2"/>
        <w:spacing w:before="0" w:after="0" w:line="240" w:lineRule="auto"/>
        <w:ind w:left="0" w:right="-1" w:firstLine="0"/>
        <w:rPr>
          <w:sz w:val="24"/>
          <w:szCs w:val="24"/>
        </w:rPr>
      </w:pPr>
      <w:r w:rsidRPr="00732EC9">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0446C659"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Em caso de impedimento, ordem de paralisação ou suspensão do contrato, o cronograma de execução será prorrogado automaticamente pelo tempo correspondente, anotadas tais circunstâncias mediante simples apostila.</w:t>
      </w:r>
    </w:p>
    <w:p w14:paraId="2A340260"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As comunicações entre o órgão ou entidade e a contratada devem ser realizadas por escrito sempre que o ato exigir tal formalidade, admitindo-se o uso de mensagem eletrônica para esse fim.</w:t>
      </w:r>
    </w:p>
    <w:p w14:paraId="284BDFA3"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órgão ou entidade poderá convocar representante da empresa para adoção de providências que devam ser cumpridas de imediato.</w:t>
      </w:r>
    </w:p>
    <w:p w14:paraId="01CF43F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A execução do contrato deverá ser acompanhada e fiscalizada pelo</w:t>
      </w:r>
      <w:r w:rsidR="002D34FC">
        <w:rPr>
          <w:sz w:val="24"/>
          <w:szCs w:val="24"/>
        </w:rPr>
        <w:t xml:space="preserve"> </w:t>
      </w:r>
      <w:r w:rsidRPr="00732EC9">
        <w:rPr>
          <w:sz w:val="24"/>
          <w:szCs w:val="24"/>
        </w:rPr>
        <w:t>(s) fiscal</w:t>
      </w:r>
      <w:r w:rsidR="002D34FC">
        <w:rPr>
          <w:sz w:val="24"/>
          <w:szCs w:val="24"/>
        </w:rPr>
        <w:t xml:space="preserve"> </w:t>
      </w:r>
      <w:r w:rsidRPr="00732EC9">
        <w:rPr>
          <w:sz w:val="24"/>
          <w:szCs w:val="24"/>
        </w:rPr>
        <w:t>(is) do contrato, ou pelos respectivos substitutos.</w:t>
      </w:r>
    </w:p>
    <w:p w14:paraId="076FF73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fiscal técnico do contrato acompanhará a execução do contrato, para que sejam cumpridas todas as condições estabelecidas no contrato, de modo a assegurar os melhores resultados para a Administração;</w:t>
      </w:r>
    </w:p>
    <w:p w14:paraId="6D6C86B9"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77795471"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Identificada qualquer inexatidão ou irregularidade, o fiscal técnico do contrato emitirá notificações para a correção da execução do contrato, determinando prazo para a correção; </w:t>
      </w:r>
    </w:p>
    <w:p w14:paraId="04A95DAD"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707B7B9A"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No caso de ocorrências que possam inviabilizar a execução do contrato nas datas aprazadas, o fiscal técnico do contrato comunicará o fato imediatamente ao gestor do contrato.</w:t>
      </w:r>
    </w:p>
    <w:p w14:paraId="4C41C745"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comunicar ao gestor do contrato, em tempo hábil, o término do contrato sob sua responsabilidade, com vistas à renovação tempestiva ou à prorrogação contratua</w:t>
      </w:r>
      <w:r>
        <w:rPr>
          <w:sz w:val="24"/>
          <w:szCs w:val="24"/>
        </w:rPr>
        <w:t>l</w:t>
      </w:r>
      <w:r w:rsidRPr="00732EC9">
        <w:rPr>
          <w:sz w:val="24"/>
          <w:szCs w:val="24"/>
        </w:rPr>
        <w:t>.</w:t>
      </w:r>
    </w:p>
    <w:p w14:paraId="12867384"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B0A5370"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662FCA46"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26FD06C"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269B95C7"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39CDC544"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615909B"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459480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 xml:space="preserve">O fiscal administrativo do contrato comunicará ao gestor do contrato, em tempo hábil, o término do contrato sob sua responsabilidade, com vistas à tempestiva renovação ou prorrogação contratual. </w:t>
      </w:r>
    </w:p>
    <w:p w14:paraId="102DE7FA"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gestor do contrato deverá elaborará relatório final com informações sobre a consecução dos objetivos que tenham justificado a contratação e eventuais condutas a serem adotadas para o aprimoramento das atividades da Administração.</w:t>
      </w:r>
    </w:p>
    <w:p w14:paraId="4C291FB6" w14:textId="77777777" w:rsidR="00D66C03" w:rsidRPr="00732EC9" w:rsidRDefault="00D66C03" w:rsidP="002D34FC">
      <w:pPr>
        <w:pStyle w:val="Nivel2"/>
        <w:numPr>
          <w:ilvl w:val="0"/>
          <w:numId w:val="0"/>
        </w:numPr>
        <w:spacing w:before="0" w:after="0" w:line="240" w:lineRule="auto"/>
        <w:ind w:right="-1"/>
        <w:rPr>
          <w:sz w:val="24"/>
          <w:szCs w:val="24"/>
        </w:rPr>
      </w:pPr>
    </w:p>
    <w:p w14:paraId="60B2644E" w14:textId="77777777" w:rsidR="00D66C03" w:rsidRPr="00732EC9" w:rsidRDefault="00D66C03" w:rsidP="002D34FC">
      <w:pPr>
        <w:pStyle w:val="Nivel01"/>
        <w:spacing w:before="0"/>
        <w:ind w:left="0" w:right="-1" w:firstLine="0"/>
        <w:jc w:val="left"/>
        <w:rPr>
          <w:sz w:val="24"/>
          <w:szCs w:val="24"/>
        </w:rPr>
      </w:pPr>
      <w:bookmarkStart w:id="5" w:name="_Toc147911329"/>
      <w:r w:rsidRPr="00732EC9">
        <w:rPr>
          <w:sz w:val="24"/>
          <w:szCs w:val="24"/>
        </w:rPr>
        <w:t>CRITÉRIOS DE MEDIÇÃO E DE PAGAMENTO</w:t>
      </w:r>
      <w:bookmarkEnd w:id="5"/>
    </w:p>
    <w:p w14:paraId="36BEE059" w14:textId="77777777" w:rsidR="00D66C03" w:rsidRPr="00732EC9" w:rsidRDefault="00D66C03" w:rsidP="002D34FC">
      <w:pPr>
        <w:ind w:right="-1"/>
        <w:rPr>
          <w:rFonts w:ascii="Arial" w:hAnsi="Arial" w:cs="Arial"/>
        </w:rPr>
      </w:pPr>
    </w:p>
    <w:p w14:paraId="53B19245"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Os bens serão recebidos provisoriamente, de forma sumária, no ato da entrega, juntamente com a </w:t>
      </w:r>
      <w:r w:rsidRPr="00732EC9">
        <w:rPr>
          <w:rFonts w:eastAsia="Calibri"/>
          <w:sz w:val="24"/>
          <w:szCs w:val="24"/>
          <w:lang w:eastAsia="en-US"/>
        </w:rPr>
        <w:t>nota</w:t>
      </w:r>
      <w:r w:rsidRPr="00732EC9">
        <w:rPr>
          <w:sz w:val="24"/>
          <w:szCs w:val="24"/>
          <w:lang w:eastAsia="en-US"/>
        </w:rPr>
        <w:t xml:space="preserve"> fiscal ou instrumento de cobrança equivalente, pelo</w:t>
      </w:r>
      <w:r w:rsidR="002D34FC">
        <w:rPr>
          <w:sz w:val="24"/>
          <w:szCs w:val="24"/>
          <w:lang w:eastAsia="en-US"/>
        </w:rPr>
        <w:t xml:space="preserve"> </w:t>
      </w:r>
      <w:r w:rsidRPr="00732EC9">
        <w:rPr>
          <w:sz w:val="24"/>
          <w:szCs w:val="24"/>
          <w:lang w:eastAsia="en-US"/>
        </w:rPr>
        <w:t>(a) responsável pelo acompanhamento e fiscalização do contrato, para efeito de posterior verificação de sua conformidade com as especificações constantes no Termo de Referência</w:t>
      </w:r>
      <w:r w:rsidRPr="00732EC9">
        <w:rPr>
          <w:color w:val="FF0000"/>
          <w:sz w:val="24"/>
          <w:szCs w:val="24"/>
          <w:lang w:eastAsia="en-US"/>
        </w:rPr>
        <w:t xml:space="preserve"> </w:t>
      </w:r>
      <w:r w:rsidRPr="00732EC9">
        <w:rPr>
          <w:sz w:val="24"/>
          <w:szCs w:val="24"/>
          <w:lang w:eastAsia="en-US"/>
        </w:rPr>
        <w:t>e na proposta.</w:t>
      </w:r>
    </w:p>
    <w:p w14:paraId="5E453609"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Os bens poderão ser rejeitados, no todo ou em parte, inclusive antes do recebimento provisório, quando em desacordo com as especificações constantes no Termo de Referência</w:t>
      </w:r>
      <w:r w:rsidRPr="00732EC9">
        <w:rPr>
          <w:color w:val="FF0000"/>
          <w:sz w:val="24"/>
          <w:szCs w:val="24"/>
          <w:lang w:eastAsia="en-US"/>
        </w:rPr>
        <w:t xml:space="preserve"> </w:t>
      </w:r>
      <w:r w:rsidRPr="00732EC9">
        <w:rPr>
          <w:sz w:val="24"/>
          <w:szCs w:val="24"/>
          <w:lang w:eastAsia="en-US"/>
        </w:rPr>
        <w:t xml:space="preserve">e na proposta, devendo ser substituídos no prazo de </w:t>
      </w:r>
      <w:r w:rsidRPr="0028521F">
        <w:rPr>
          <w:color w:val="auto"/>
          <w:sz w:val="24"/>
          <w:szCs w:val="24"/>
          <w:lang w:eastAsia="en-US"/>
        </w:rPr>
        <w:t xml:space="preserve">7 </w:t>
      </w:r>
      <w:r w:rsidRPr="00732EC9">
        <w:rPr>
          <w:sz w:val="24"/>
          <w:szCs w:val="24"/>
          <w:lang w:eastAsia="en-US"/>
        </w:rPr>
        <w:t>dias, a contar da notificação da contratada, às suas custas, sem prejuízo da aplicação das penalidades.</w:t>
      </w:r>
    </w:p>
    <w:p w14:paraId="2036D05D"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recebimento definitivo ocorrerá no prazo </w:t>
      </w:r>
      <w:r w:rsidRPr="0028521F">
        <w:rPr>
          <w:color w:val="auto"/>
          <w:sz w:val="24"/>
          <w:szCs w:val="24"/>
          <w:lang w:eastAsia="en-US"/>
        </w:rPr>
        <w:t xml:space="preserve">de 15 dias úteis, </w:t>
      </w:r>
      <w:r w:rsidRPr="00732EC9">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71E43222"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Para as contratações decorrentes de despesas cujos valores não ultrapassem o limite de que trata o </w:t>
      </w:r>
      <w:hyperlink r:id="rId7" w:anchor="art75" w:history="1">
        <w:r w:rsidRPr="00732EC9">
          <w:rPr>
            <w:rStyle w:val="Hyperlink"/>
            <w:sz w:val="24"/>
            <w:szCs w:val="24"/>
            <w:lang w:eastAsia="en-US"/>
          </w:rPr>
          <w:t>inciso II do art. 75 da Lei nº 14.133, de 2021</w:t>
        </w:r>
      </w:hyperlink>
      <w:r w:rsidRPr="00732EC9">
        <w:rPr>
          <w:sz w:val="24"/>
          <w:szCs w:val="24"/>
          <w:lang w:eastAsia="en-US"/>
        </w:rPr>
        <w:t xml:space="preserve">, o prazo máximo para o recebimento definitivo será de </w:t>
      </w:r>
      <w:r w:rsidRPr="0028521F">
        <w:rPr>
          <w:color w:val="auto"/>
          <w:sz w:val="24"/>
          <w:szCs w:val="24"/>
          <w:lang w:eastAsia="en-US"/>
        </w:rPr>
        <w:t xml:space="preserve">até 10 dias </w:t>
      </w:r>
      <w:r w:rsidRPr="00732EC9">
        <w:rPr>
          <w:sz w:val="24"/>
          <w:szCs w:val="24"/>
          <w:lang w:eastAsia="en-US"/>
        </w:rPr>
        <w:t>úteis.</w:t>
      </w:r>
    </w:p>
    <w:p w14:paraId="5A6444F3"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prazo para recebimento definitivo poderá ser excepcionalmente prorrogado, </w:t>
      </w:r>
      <w:r w:rsidRPr="00732EC9">
        <w:rPr>
          <w:color w:val="auto"/>
          <w:sz w:val="24"/>
          <w:szCs w:val="24"/>
          <w:lang w:eastAsia="en-US"/>
        </w:rPr>
        <w:t>de forma justificada, por igual período, quando houver necessidade de diligências para a aferição do ate</w:t>
      </w:r>
      <w:r w:rsidRPr="00732EC9">
        <w:rPr>
          <w:sz w:val="24"/>
          <w:szCs w:val="24"/>
          <w:lang w:eastAsia="en-US"/>
        </w:rPr>
        <w:t>ndimento das exigências contratuais.</w:t>
      </w:r>
    </w:p>
    <w:p w14:paraId="53B60F32" w14:textId="77777777" w:rsidR="00D66C03" w:rsidRPr="00732EC9" w:rsidRDefault="00D66C03" w:rsidP="002D34FC">
      <w:pPr>
        <w:pStyle w:val="Nivel2"/>
        <w:spacing w:before="0" w:after="0" w:line="240" w:lineRule="auto"/>
        <w:ind w:left="0" w:right="-1" w:firstLine="0"/>
        <w:rPr>
          <w:sz w:val="24"/>
          <w:szCs w:val="24"/>
          <w:lang w:eastAsia="en-US"/>
        </w:rPr>
      </w:pPr>
      <w:r w:rsidRPr="00732EC9">
        <w:rPr>
          <w:bCs/>
          <w:sz w:val="24"/>
          <w:szCs w:val="24"/>
          <w:lang w:eastAsia="en-US"/>
        </w:rPr>
        <w:t xml:space="preserve">No caso de controvérsia sobre a execução do objeto, quanto à dimensão, qualidade e quantidade, deverá ser observado o teor do </w:t>
      </w:r>
      <w:hyperlink r:id="rId8" w:anchor="art143" w:history="1">
        <w:r w:rsidRPr="00732EC9">
          <w:rPr>
            <w:rStyle w:val="Hyperlink"/>
            <w:bCs/>
            <w:sz w:val="24"/>
            <w:szCs w:val="24"/>
            <w:lang w:eastAsia="en-US"/>
          </w:rPr>
          <w:t>art. 143 da Lei nº 14.133, de 2021</w:t>
        </w:r>
      </w:hyperlink>
      <w:r w:rsidRPr="00732EC9">
        <w:rPr>
          <w:bCs/>
          <w:sz w:val="24"/>
          <w:szCs w:val="24"/>
          <w:lang w:eastAsia="en-US"/>
        </w:rPr>
        <w:t>, comunicando-se à empresa para emissão de Nota Fiscal no que pertine à parcela incontroversa da execução do objeto, para efeito de liquidação e pagamento.</w:t>
      </w:r>
    </w:p>
    <w:p w14:paraId="0A71C0BE"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8FBE8C1"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recebimento provisório ou definitivo não excluirá a responsabilidade civil pela solidez e pela segurança do serviço nem a responsabilidade ético-profissional pela perfeita execução do contrato.</w:t>
      </w:r>
    </w:p>
    <w:p w14:paraId="031D02A4"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Recebida a Nota Fiscal ou documento de cobrança equivalente, correrá o prazo de</w:t>
      </w:r>
      <w:r>
        <w:rPr>
          <w:sz w:val="24"/>
          <w:szCs w:val="24"/>
          <w:lang w:eastAsia="en-US"/>
        </w:rPr>
        <w:t xml:space="preserve"> 15</w:t>
      </w:r>
      <w:r w:rsidRPr="00732EC9">
        <w:rPr>
          <w:sz w:val="24"/>
          <w:szCs w:val="24"/>
          <w:lang w:eastAsia="en-US"/>
        </w:rPr>
        <w:t xml:space="preserve"> dias úteis para fins de liquidação, na forma desta seção, prorrogáveis por igual período.</w:t>
      </w:r>
    </w:p>
    <w:p w14:paraId="0AFB0ED8"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C752FF6"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o prazo de validade;</w:t>
      </w:r>
    </w:p>
    <w:p w14:paraId="16BDE9BF"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a data da emissão; </w:t>
      </w:r>
    </w:p>
    <w:p w14:paraId="0EBCF279"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os dados do contrato e do órgão contratante; </w:t>
      </w:r>
    </w:p>
    <w:p w14:paraId="01AEB446"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período respectivo de execução do contrato; </w:t>
      </w:r>
    </w:p>
    <w:p w14:paraId="26468A44"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valor a pagar; e </w:t>
      </w:r>
    </w:p>
    <w:p w14:paraId="7B332C51"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eventual destaque do valor de retenções tributárias cabíveis.</w:t>
      </w:r>
    </w:p>
    <w:p w14:paraId="7538198E" w14:textId="77777777" w:rsidR="00D66C03" w:rsidRPr="008B0B12" w:rsidRDefault="00D66C03" w:rsidP="002D34FC">
      <w:pPr>
        <w:pStyle w:val="Nivel2"/>
        <w:spacing w:before="0" w:after="0" w:line="240" w:lineRule="auto"/>
        <w:ind w:left="0" w:right="-1" w:firstLine="0"/>
        <w:rPr>
          <w:sz w:val="24"/>
          <w:szCs w:val="24"/>
          <w:lang w:eastAsia="en-US"/>
        </w:rPr>
      </w:pPr>
      <w:r w:rsidRPr="00732EC9">
        <w:rPr>
          <w:rFonts w:eastAsia="Calibri"/>
          <w:sz w:val="24"/>
          <w:szCs w:val="24"/>
          <w:lang w:eastAsia="en-US"/>
        </w:rPr>
        <w:t xml:space="preserve"> Havendo erro na apresentação da nota fiscal ou instrumento de cobrança equivalente, ou circunstância que impeça a </w:t>
      </w:r>
      <w:r w:rsidRPr="00732EC9">
        <w:rPr>
          <w:sz w:val="24"/>
          <w:szCs w:val="24"/>
          <w:lang w:eastAsia="en-US"/>
        </w:rPr>
        <w:t xml:space="preserve">liquidação da despesa, esta ficará sobrestada até que o contratado providencie as medidas saneadoras, reiniciando-se o prazo após a </w:t>
      </w:r>
      <w:r w:rsidRPr="008B0B12">
        <w:rPr>
          <w:sz w:val="24"/>
          <w:szCs w:val="24"/>
          <w:lang w:eastAsia="en-US"/>
        </w:rPr>
        <w:t>comprovação da regularização da situação, sem ônus ao contratante;</w:t>
      </w:r>
    </w:p>
    <w:p w14:paraId="04395FCA" w14:textId="77777777" w:rsidR="00D66C03" w:rsidRPr="008B0B12" w:rsidRDefault="00D66C03" w:rsidP="002D34FC">
      <w:pPr>
        <w:pStyle w:val="Nivel2"/>
        <w:spacing w:before="0" w:after="0" w:line="240" w:lineRule="auto"/>
        <w:ind w:left="0" w:right="-1" w:firstLine="0"/>
        <w:rPr>
          <w:sz w:val="24"/>
          <w:szCs w:val="24"/>
          <w:lang w:eastAsia="en-US"/>
        </w:rPr>
      </w:pPr>
      <w:r w:rsidRPr="008B0B12">
        <w:rPr>
          <w:sz w:val="24"/>
          <w:szCs w:val="24"/>
          <w:lang w:eastAsia="en-US"/>
        </w:rPr>
        <w:t xml:space="preserve"> A nota fiscal ou instrumento de cobrança equivalente deverá ser obrigatoriamente acompanhado da comprovação da regularidade fiscal, constatada por meio de consulta </w:t>
      </w:r>
      <w:r w:rsidRPr="008B0B12">
        <w:rPr>
          <w:i/>
          <w:iCs/>
          <w:sz w:val="24"/>
          <w:szCs w:val="24"/>
          <w:lang w:eastAsia="en-US"/>
        </w:rPr>
        <w:t>on-line</w:t>
      </w:r>
      <w:r w:rsidRPr="008B0B12">
        <w:rPr>
          <w:sz w:val="24"/>
          <w:szCs w:val="24"/>
          <w:lang w:eastAsia="en-US"/>
        </w:rPr>
        <w:t xml:space="preserve"> ao SICAF ou, na impossibilidade de acesso ao referido Sistema, mediante consulta aos sítios eletrônicos oficiais ou à documentação mencionada no </w:t>
      </w:r>
      <w:hyperlink r:id="rId9" w:anchor="art68" w:history="1">
        <w:r w:rsidRPr="008B0B12">
          <w:rPr>
            <w:rStyle w:val="Hyperlink"/>
            <w:sz w:val="24"/>
            <w:szCs w:val="24"/>
            <w:lang w:eastAsia="en-US"/>
          </w:rPr>
          <w:t xml:space="preserve">art. 68 da Lei nº 14.133, de 2021.  </w:t>
        </w:r>
      </w:hyperlink>
      <w:r w:rsidRPr="008B0B12">
        <w:rPr>
          <w:sz w:val="24"/>
          <w:szCs w:val="24"/>
          <w:lang w:eastAsia="en-US"/>
        </w:rPr>
        <w:t xml:space="preserve"> </w:t>
      </w:r>
    </w:p>
    <w:p w14:paraId="281C7DF5" w14:textId="77777777" w:rsidR="00D66C03" w:rsidRPr="008B0B12" w:rsidRDefault="00D66C03" w:rsidP="002D34FC">
      <w:pPr>
        <w:pStyle w:val="Nivel2"/>
        <w:spacing w:before="0" w:after="0" w:line="240" w:lineRule="auto"/>
        <w:ind w:left="0" w:right="-1" w:firstLine="0"/>
        <w:rPr>
          <w:sz w:val="24"/>
          <w:szCs w:val="24"/>
          <w:lang w:eastAsia="en-US"/>
        </w:rPr>
      </w:pPr>
      <w:r w:rsidRPr="008B0B12">
        <w:rPr>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818F4F8"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7ACD8D"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22C4C94"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8827FA4"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6167810E"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14:paraId="5ACEE50E"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14:paraId="4E36244D"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Será considerada data do pagamento o dia em que constar como emitida a ordem bancária para pagamento.</w:t>
      </w:r>
    </w:p>
    <w:p w14:paraId="0E1B6C20" w14:textId="77777777" w:rsidR="00D66C03" w:rsidRPr="00F212EF" w:rsidRDefault="00D66C03" w:rsidP="002D34FC">
      <w:pPr>
        <w:pStyle w:val="Nivel2"/>
        <w:spacing w:before="0" w:after="0" w:line="240" w:lineRule="auto"/>
        <w:ind w:left="0" w:right="-1" w:firstLine="0"/>
        <w:rPr>
          <w:sz w:val="24"/>
          <w:szCs w:val="24"/>
          <w:highlight w:val="yellow"/>
          <w:lang w:eastAsia="en-US"/>
        </w:rPr>
      </w:pPr>
      <w:r w:rsidRPr="00F212EF">
        <w:rPr>
          <w:sz w:val="24"/>
          <w:szCs w:val="24"/>
          <w:highlight w:val="yellow"/>
          <w:lang w:eastAsia="en-US"/>
        </w:rPr>
        <w:t>A prestação do serviço ou aquisição de bens estará sujeita a INRFB ° 1234/2012 e suas alterações, bem como, ao Decreto Municipal n° 69/2023, no que diz respeito ao IRRF.</w:t>
      </w:r>
    </w:p>
    <w:p w14:paraId="4D0FCC69" w14:textId="77777777" w:rsidR="00D66C03" w:rsidRPr="00732EC9" w:rsidRDefault="00D66C03" w:rsidP="002D34FC">
      <w:pPr>
        <w:pStyle w:val="Nivel3"/>
        <w:spacing w:before="0" w:after="0" w:line="240" w:lineRule="auto"/>
        <w:ind w:left="0" w:right="-1" w:firstLine="0"/>
        <w:rPr>
          <w:sz w:val="24"/>
          <w:szCs w:val="24"/>
          <w:lang w:eastAsia="en-US"/>
        </w:rPr>
      </w:pPr>
      <w:r w:rsidRPr="00732EC9">
        <w:rPr>
          <w:sz w:val="24"/>
          <w:szCs w:val="24"/>
          <w:lang w:eastAsia="en-US"/>
        </w:rPr>
        <w:t>Independentemente do percentual de tributo inserido na planilha, quando houver, serão retidos na fonte, quando da realização do pagamento, os percentuais estabelecidos na legislação vigente.</w:t>
      </w:r>
    </w:p>
    <w:p w14:paraId="7221A83D"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contratado regularmente optante pelo Simples Nacional, nos termos da </w:t>
      </w:r>
      <w:hyperlink r:id="rId10" w:history="1">
        <w:r w:rsidRPr="00732EC9">
          <w:rPr>
            <w:rStyle w:val="Hyperlink"/>
            <w:sz w:val="24"/>
            <w:szCs w:val="24"/>
            <w:lang w:eastAsia="en-US"/>
          </w:rPr>
          <w:t>Lei Complementar nº 123, de 2006</w:t>
        </w:r>
      </w:hyperlink>
      <w:r w:rsidRPr="00732EC9">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0403309" w14:textId="77777777" w:rsidR="00D66C03" w:rsidRPr="00732EC9" w:rsidRDefault="00D66C03" w:rsidP="002D34FC">
      <w:pPr>
        <w:pStyle w:val="Textodecomentrio"/>
        <w:ind w:right="-1"/>
        <w:rPr>
          <w:rFonts w:ascii="Arial" w:hAnsi="Arial" w:cs="Arial"/>
          <w:b/>
          <w:color w:val="FF0000"/>
          <w:sz w:val="24"/>
          <w:szCs w:val="24"/>
          <w:shd w:val="clear" w:color="auto" w:fill="FFFFFF"/>
        </w:rPr>
      </w:pPr>
    </w:p>
    <w:p w14:paraId="09F291F3" w14:textId="77777777" w:rsidR="00D66C03" w:rsidRPr="00732EC9" w:rsidRDefault="00D66C03" w:rsidP="002D34FC">
      <w:pPr>
        <w:pStyle w:val="Nivel01"/>
        <w:spacing w:before="0"/>
        <w:ind w:left="0" w:right="-1" w:firstLine="0"/>
        <w:jc w:val="left"/>
        <w:rPr>
          <w:sz w:val="24"/>
          <w:szCs w:val="24"/>
        </w:rPr>
      </w:pPr>
      <w:bookmarkStart w:id="6" w:name="_Toc147911330"/>
      <w:r w:rsidRPr="00732EC9">
        <w:rPr>
          <w:sz w:val="24"/>
          <w:szCs w:val="24"/>
        </w:rPr>
        <w:t>FORMA E CRITÉRIOS DE SELEÇÃO DO FORNECEDOR</w:t>
      </w:r>
      <w:bookmarkEnd w:id="6"/>
    </w:p>
    <w:p w14:paraId="39D5DB2A" w14:textId="77777777" w:rsidR="00D66C03" w:rsidRPr="00732EC9" w:rsidRDefault="00D66C03" w:rsidP="002D34FC">
      <w:pPr>
        <w:ind w:right="-1"/>
        <w:rPr>
          <w:rFonts w:ascii="Arial" w:hAnsi="Arial" w:cs="Arial"/>
        </w:rPr>
      </w:pPr>
    </w:p>
    <w:p w14:paraId="5C45A376" w14:textId="77777777" w:rsidR="00D66C03" w:rsidRPr="008B0B12" w:rsidRDefault="00D66C03" w:rsidP="002D34FC">
      <w:pPr>
        <w:pStyle w:val="Nivel2"/>
        <w:spacing w:before="0" w:after="0" w:line="240" w:lineRule="auto"/>
        <w:ind w:left="0" w:right="-1" w:firstLine="0"/>
        <w:rPr>
          <w:color w:val="auto"/>
          <w:sz w:val="24"/>
          <w:szCs w:val="24"/>
        </w:rPr>
      </w:pPr>
      <w:r w:rsidRPr="00732EC9">
        <w:rPr>
          <w:rFonts w:eastAsia="Arial"/>
          <w:sz w:val="24"/>
          <w:szCs w:val="24"/>
        </w:rPr>
        <w:t xml:space="preserve">O fornecedor será selecionado por meio da realização de procedimento de LICITAÇÃO, na modalidade PREGÃO, sob a forma ELETRÔNICA, com adoção do critério </w:t>
      </w:r>
      <w:r w:rsidRPr="008B0B12">
        <w:rPr>
          <w:rFonts w:eastAsia="Arial"/>
          <w:color w:val="auto"/>
          <w:sz w:val="24"/>
          <w:szCs w:val="24"/>
        </w:rPr>
        <w:t xml:space="preserve">de julgamento </w:t>
      </w:r>
      <w:r w:rsidRPr="00A11CFD">
        <w:rPr>
          <w:rFonts w:eastAsia="Arial"/>
          <w:color w:val="auto"/>
          <w:sz w:val="24"/>
          <w:szCs w:val="24"/>
        </w:rPr>
        <w:t>pelo MENOR PREÇO</w:t>
      </w:r>
      <w:r>
        <w:rPr>
          <w:rFonts w:eastAsia="Arial"/>
          <w:color w:val="auto"/>
          <w:sz w:val="24"/>
          <w:szCs w:val="24"/>
        </w:rPr>
        <w:t>.</w:t>
      </w:r>
    </w:p>
    <w:p w14:paraId="769CD176"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Para fins de habilitação, deverá o licitante comprovar os seguintes requisitos:</w:t>
      </w:r>
    </w:p>
    <w:p w14:paraId="791C95C6" w14:textId="77777777" w:rsidR="00D66C03" w:rsidRPr="00732EC9" w:rsidRDefault="00D66C03" w:rsidP="002D34FC">
      <w:pPr>
        <w:pStyle w:val="Nivel2"/>
        <w:spacing w:before="0" w:after="0" w:line="240" w:lineRule="auto"/>
        <w:ind w:left="0" w:right="-1" w:firstLine="0"/>
        <w:rPr>
          <w:sz w:val="24"/>
          <w:szCs w:val="24"/>
        </w:rPr>
      </w:pPr>
      <w:bookmarkStart w:id="7" w:name="_Ref115800561"/>
      <w:r w:rsidRPr="00732EC9">
        <w:rPr>
          <w:b/>
          <w:bCs/>
          <w:sz w:val="24"/>
          <w:szCs w:val="24"/>
        </w:rPr>
        <w:t>Pessoa física:</w:t>
      </w:r>
      <w:r w:rsidRPr="00732EC9">
        <w:rPr>
          <w:sz w:val="24"/>
          <w:szCs w:val="24"/>
        </w:rPr>
        <w:t xml:space="preserve"> cédula de identidade (RG) ou documento equivalente que, por força de lei, tenha validade para fins de identificação em todo o território nacional;</w:t>
      </w:r>
      <w:bookmarkEnd w:id="7"/>
    </w:p>
    <w:p w14:paraId="58AABB26"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Empresário individual:</w:t>
      </w:r>
      <w:r w:rsidRPr="00732EC9">
        <w:rPr>
          <w:sz w:val="24"/>
          <w:szCs w:val="24"/>
        </w:rPr>
        <w:t xml:space="preserve"> inscrição no Registro Público de Empresas Mercantis, a cargo da Junta Comercial da respectiva sede; </w:t>
      </w:r>
    </w:p>
    <w:p w14:paraId="28DA8223"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Microempreendedor Individual - MEI:</w:t>
      </w:r>
      <w:r w:rsidRPr="00732EC9">
        <w:rPr>
          <w:sz w:val="24"/>
          <w:szCs w:val="24"/>
        </w:rPr>
        <w:t xml:space="preserve"> Certificado da Condição de Microempreendedor Individual - CCMEI, cuja aceitação ficará condicionada à verificação da autenticidade no sítio </w:t>
      </w:r>
      <w:hyperlink r:id="rId11" w:history="1">
        <w:r w:rsidRPr="00732EC9">
          <w:rPr>
            <w:rStyle w:val="Hyperlink"/>
            <w:sz w:val="24"/>
            <w:szCs w:val="24"/>
          </w:rPr>
          <w:t>https://www.gov.br/empresas-e-negocios/pt-br/empreendedor</w:t>
        </w:r>
      </w:hyperlink>
      <w:r w:rsidRPr="00732EC9">
        <w:rPr>
          <w:sz w:val="24"/>
          <w:szCs w:val="24"/>
        </w:rPr>
        <w:t xml:space="preserve">; </w:t>
      </w:r>
    </w:p>
    <w:p w14:paraId="61BF50AE"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empresária, sociedade limitada unipessoal – SLU ou sociedade identificada como empresa individual de responsabilidade limitada - EIRELI:</w:t>
      </w:r>
      <w:r w:rsidRPr="00732EC9">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387067F"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empresária estrangeira:</w:t>
      </w:r>
      <w:r w:rsidRPr="00732EC9">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732EC9">
          <w:rPr>
            <w:rStyle w:val="Hyperlink"/>
            <w:sz w:val="24"/>
            <w:szCs w:val="24"/>
          </w:rPr>
          <w:t>Normativa DREI/ME n.º 77, de 18 de março de 2020</w:t>
        </w:r>
      </w:hyperlink>
      <w:r w:rsidRPr="00732EC9">
        <w:rPr>
          <w:sz w:val="24"/>
          <w:szCs w:val="24"/>
        </w:rPr>
        <w:t>.</w:t>
      </w:r>
    </w:p>
    <w:p w14:paraId="6E10DD19"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 xml:space="preserve">Sociedade simples: </w:t>
      </w:r>
      <w:r w:rsidRPr="00732EC9">
        <w:rPr>
          <w:sz w:val="24"/>
          <w:szCs w:val="24"/>
        </w:rPr>
        <w:t>inscrição do ato constitutivo no Registro Civil de Pessoas Jurídicas do local de sua sede, acompanhada de documento comprobatório de seus administradores;</w:t>
      </w:r>
    </w:p>
    <w:p w14:paraId="17FEF34F"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Filial, sucursal ou agência de sociedade simples ou empresária:</w:t>
      </w:r>
      <w:r w:rsidRPr="00732EC9">
        <w:rPr>
          <w:sz w:val="24"/>
          <w:szCs w:val="24"/>
        </w:rPr>
        <w:t xml:space="preserve"> inscrição do ato constitutivo da filial, sucursal ou agência da sociedade simples ou empresária, respectivamente, no Registro Civil das Pessoas Jurídicas ou no Registro Público de Empresas </w:t>
      </w:r>
      <w:bookmarkStart w:id="8" w:name="_Int_ySfCXwr4"/>
      <w:r w:rsidRPr="00732EC9">
        <w:rPr>
          <w:sz w:val="24"/>
          <w:szCs w:val="24"/>
        </w:rPr>
        <w:t>Mercantis onde</w:t>
      </w:r>
      <w:bookmarkEnd w:id="8"/>
      <w:r w:rsidRPr="00732EC9">
        <w:rPr>
          <w:sz w:val="24"/>
          <w:szCs w:val="24"/>
        </w:rPr>
        <w:t xml:space="preserve"> opera, com averbação no Registro onde tem sede a matriz</w:t>
      </w:r>
    </w:p>
    <w:p w14:paraId="2AC8CE7B"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cooperativa:</w:t>
      </w:r>
      <w:r w:rsidRPr="00732EC9">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732EC9">
          <w:rPr>
            <w:rStyle w:val="Hyperlink"/>
            <w:sz w:val="24"/>
            <w:szCs w:val="24"/>
          </w:rPr>
          <w:t>art. 107 da Lei nº 5.764, de 16 de dezembro 1971</w:t>
        </w:r>
      </w:hyperlink>
      <w:r w:rsidRPr="00732EC9">
        <w:rPr>
          <w:sz w:val="24"/>
          <w:szCs w:val="24"/>
        </w:rPr>
        <w:t>.</w:t>
      </w:r>
    </w:p>
    <w:p w14:paraId="74A601AC"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Agricultor familiar:</w:t>
      </w:r>
      <w:r w:rsidRPr="00732EC9">
        <w:rPr>
          <w:sz w:val="24"/>
          <w:szCs w:val="24"/>
        </w:rPr>
        <w:t xml:space="preserve"> Declaração de Aptidão ao Pronaf – DAP ou DAP-P válida, ou, ainda, outros documentos definidos pela Secretaria Especial de Agricultura Familiar e do Desenvolvimento Agrário, nos termos do</w:t>
      </w:r>
      <w:hyperlink r:id="rId14" w:anchor="art4§2" w:history="1">
        <w:r w:rsidRPr="00732EC9">
          <w:rPr>
            <w:rStyle w:val="Hyperlink"/>
            <w:sz w:val="24"/>
            <w:szCs w:val="24"/>
          </w:rPr>
          <w:t xml:space="preserve"> art. 4º, §2º do Decreto nº 10.880, de 2 de dezembro de 2021</w:t>
        </w:r>
      </w:hyperlink>
      <w:r w:rsidRPr="00732EC9">
        <w:rPr>
          <w:sz w:val="24"/>
          <w:szCs w:val="24"/>
        </w:rPr>
        <w:t>.</w:t>
      </w:r>
    </w:p>
    <w:p w14:paraId="1F9B1E25"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Produtor Rural:</w:t>
      </w:r>
      <w:r w:rsidRPr="00732EC9">
        <w:rPr>
          <w:sz w:val="24"/>
          <w:szCs w:val="24"/>
        </w:rPr>
        <w:t xml:space="preserve"> matrícula no Cadastro Específico do INSS – CEI, que comprove a qualificação como produtor rural pessoa física, nos termos da </w:t>
      </w:r>
      <w:hyperlink r:id="rId15" w:history="1">
        <w:r w:rsidRPr="00732EC9">
          <w:rPr>
            <w:rStyle w:val="Hyperlink"/>
            <w:sz w:val="24"/>
            <w:szCs w:val="24"/>
          </w:rPr>
          <w:t>Instrução Normativa RFB n. 971, de 13 de novembro de 2009</w:t>
        </w:r>
      </w:hyperlink>
      <w:r w:rsidRPr="00732EC9">
        <w:rPr>
          <w:sz w:val="24"/>
          <w:szCs w:val="24"/>
        </w:rPr>
        <w:t xml:space="preserve"> (arts. 17 a 19 e 165).</w:t>
      </w:r>
    </w:p>
    <w:p w14:paraId="1CE03242"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Os documentos apresentados deverão estar acompanhados de todas as alterações ou da consolidação respectiva.</w:t>
      </w:r>
    </w:p>
    <w:p w14:paraId="5FF4C605" w14:textId="77777777" w:rsidR="00D66C03" w:rsidRPr="00732EC9" w:rsidRDefault="00D66C03" w:rsidP="002D34FC">
      <w:pPr>
        <w:pStyle w:val="Nvel1-SemNum"/>
        <w:spacing w:before="0"/>
        <w:ind w:left="0" w:right="-1"/>
        <w:rPr>
          <w:color w:val="auto"/>
          <w:sz w:val="24"/>
          <w:szCs w:val="24"/>
          <w:lang w:eastAsia="zh-CN" w:bidi="hi-IN"/>
        </w:rPr>
      </w:pPr>
      <w:bookmarkStart w:id="9" w:name="_Toc147911331"/>
      <w:r w:rsidRPr="00732EC9">
        <w:rPr>
          <w:color w:val="auto"/>
          <w:sz w:val="24"/>
          <w:szCs w:val="24"/>
          <w:lang w:eastAsia="zh-CN" w:bidi="hi-IN"/>
        </w:rPr>
        <w:t>Habilitação fiscal, social e trabalhista</w:t>
      </w:r>
      <w:bookmarkEnd w:id="9"/>
    </w:p>
    <w:p w14:paraId="4C5DA8EC"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inscrição no Cadastro Nacional de Pessoas Jurídicas ou no Cadastro de Pessoas Físicas, conforme o caso;</w:t>
      </w:r>
    </w:p>
    <w:p w14:paraId="40265048"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regularidade fiscal perante a Fazenda Nacional, mediante apresentação de certidão expedida conjuntamente pela Secretaria da Receita Federal do Brasil (RFB)</w:t>
      </w:r>
      <w:r>
        <w:rPr>
          <w:sz w:val="24"/>
          <w:szCs w:val="24"/>
        </w:rPr>
        <w:t>;</w:t>
      </w:r>
    </w:p>
    <w:p w14:paraId="18E2BF3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regularidade com o Fundo de Garantia do Tempo de Serviço (FGTS);</w:t>
      </w:r>
    </w:p>
    <w:p w14:paraId="4DCF3BE9"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3A2EB1"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 xml:space="preserve">Prova de inscrição no cadastro de contribuintes </w:t>
      </w:r>
      <w:r w:rsidRPr="0028521F">
        <w:rPr>
          <w:color w:val="auto"/>
          <w:sz w:val="24"/>
          <w:szCs w:val="24"/>
        </w:rPr>
        <w:t>Estadual</w:t>
      </w:r>
      <w:r>
        <w:rPr>
          <w:color w:val="auto"/>
          <w:sz w:val="24"/>
          <w:szCs w:val="24"/>
        </w:rPr>
        <w:t xml:space="preserve"> e Municipal</w:t>
      </w:r>
      <w:r>
        <w:rPr>
          <w:i/>
          <w:iCs/>
          <w:color w:val="FF0000"/>
          <w:sz w:val="24"/>
          <w:szCs w:val="24"/>
        </w:rPr>
        <w:t xml:space="preserve"> </w:t>
      </w:r>
      <w:r w:rsidRPr="00732EC9">
        <w:rPr>
          <w:sz w:val="24"/>
          <w:szCs w:val="24"/>
        </w:rPr>
        <w:t xml:space="preserve">relativo ao domicílio ou sede do fornecedor, pertinente ao seu ramo de atividade e compatível com o objeto contratual; </w:t>
      </w:r>
    </w:p>
    <w:p w14:paraId="2D1DF5FF" w14:textId="77777777" w:rsidR="00D66C03" w:rsidRPr="0028521F" w:rsidRDefault="00D66C03" w:rsidP="002D34FC">
      <w:pPr>
        <w:pStyle w:val="Nivel2"/>
        <w:spacing w:before="0" w:after="0" w:line="240" w:lineRule="auto"/>
        <w:ind w:left="0" w:right="-1" w:firstLine="0"/>
        <w:rPr>
          <w:color w:val="auto"/>
          <w:sz w:val="24"/>
          <w:szCs w:val="24"/>
        </w:rPr>
      </w:pPr>
      <w:r w:rsidRPr="00732EC9">
        <w:rPr>
          <w:sz w:val="24"/>
          <w:szCs w:val="24"/>
        </w:rPr>
        <w:t xml:space="preserve">Prova de regularidade com a </w:t>
      </w:r>
      <w:r w:rsidRPr="0028521F">
        <w:rPr>
          <w:color w:val="auto"/>
          <w:sz w:val="24"/>
          <w:szCs w:val="24"/>
        </w:rPr>
        <w:t>Fazenda Estadual/Distrital ou Municipal do domicílio ou sede do fornecedor, relativa à atividade em cujo exercício contrata ou concorre;</w:t>
      </w:r>
    </w:p>
    <w:p w14:paraId="71730C3A"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Caso o fornece</w:t>
      </w:r>
      <w:r w:rsidRPr="0028521F">
        <w:rPr>
          <w:color w:val="auto"/>
          <w:sz w:val="24"/>
          <w:szCs w:val="24"/>
        </w:rPr>
        <w:t xml:space="preserve">dor seja considerado isento dos tributos [Estadual/Distrital] ou [Municipal/Distrital] </w:t>
      </w:r>
      <w:r w:rsidRPr="00732EC9">
        <w:rPr>
          <w:sz w:val="24"/>
          <w:szCs w:val="24"/>
        </w:rPr>
        <w:t>relacionados ao objeto contratual, deverá comprovar tal condição mediante a apresentação de declaração da Fazenda respectiva do seu domicílio ou sede, ou outra equivalente, na forma da lei.</w:t>
      </w:r>
    </w:p>
    <w:p w14:paraId="65A9100B"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1D96352" w14:textId="77777777" w:rsidR="00D66C03" w:rsidRPr="00732EC9" w:rsidRDefault="00D66C03" w:rsidP="002D34FC">
      <w:pPr>
        <w:pStyle w:val="Nvel1-SemNum"/>
        <w:spacing w:before="0"/>
        <w:ind w:left="0" w:right="-1"/>
        <w:rPr>
          <w:color w:val="auto"/>
          <w:sz w:val="24"/>
          <w:szCs w:val="24"/>
          <w:lang w:eastAsia="zh-CN" w:bidi="hi-IN"/>
        </w:rPr>
      </w:pPr>
      <w:bookmarkStart w:id="10" w:name="_Toc147911332"/>
      <w:r w:rsidRPr="00732EC9">
        <w:rPr>
          <w:color w:val="auto"/>
          <w:sz w:val="24"/>
          <w:szCs w:val="24"/>
          <w:lang w:eastAsia="zh-CN" w:bidi="hi-IN"/>
        </w:rPr>
        <w:t>Qualificação Econômico-Financeira</w:t>
      </w:r>
      <w:bookmarkEnd w:id="10"/>
    </w:p>
    <w:p w14:paraId="2BC3F4CA"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Certidão negativa de insolvência civil expedida pelo distribuidor do domicílio ou sede do licitante, caso se trate de pessoa física, desde que admitida a sua participação na licitação (</w:t>
      </w:r>
      <w:hyperlink r:id="rId16" w:anchor="art5" w:history="1">
        <w:r w:rsidRPr="00732EC9">
          <w:rPr>
            <w:rStyle w:val="Hyperlink"/>
            <w:sz w:val="24"/>
            <w:szCs w:val="24"/>
          </w:rPr>
          <w:t>art. 5º, inciso II, alínea “c”, da Instrução Normativa Seges/ME nº 116, de 2021</w:t>
        </w:r>
      </w:hyperlink>
      <w:r w:rsidRPr="00732EC9">
        <w:rPr>
          <w:sz w:val="24"/>
          <w:szCs w:val="24"/>
        </w:rPr>
        <w:t xml:space="preserve">), ou de sociedade simples; </w:t>
      </w:r>
    </w:p>
    <w:p w14:paraId="1792C579" w14:textId="77777777" w:rsidR="00D66C03" w:rsidRDefault="00D66C03" w:rsidP="002D34FC">
      <w:pPr>
        <w:pStyle w:val="Nivel2"/>
        <w:spacing w:before="0" w:after="0" w:line="240" w:lineRule="auto"/>
        <w:ind w:left="0" w:right="-1" w:firstLine="0"/>
        <w:rPr>
          <w:sz w:val="24"/>
          <w:szCs w:val="24"/>
        </w:rPr>
      </w:pPr>
      <w:r w:rsidRPr="00732EC9">
        <w:rPr>
          <w:sz w:val="24"/>
          <w:szCs w:val="24"/>
        </w:rPr>
        <w:t xml:space="preserve">Certidão negativa de falência expedida pelo distribuidor da sede do fornecedor - </w:t>
      </w:r>
      <w:hyperlink r:id="rId17" w:anchor="art69" w:history="1">
        <w:r w:rsidRPr="00732EC9">
          <w:rPr>
            <w:rStyle w:val="Hyperlink"/>
            <w:sz w:val="24"/>
            <w:szCs w:val="24"/>
          </w:rPr>
          <w:t>Lei nº 14.133, de 2021, art. 69, caput, inciso II</w:t>
        </w:r>
      </w:hyperlink>
      <w:r w:rsidRPr="00732EC9">
        <w:rPr>
          <w:sz w:val="24"/>
          <w:szCs w:val="24"/>
        </w:rPr>
        <w:t>);</w:t>
      </w:r>
    </w:p>
    <w:p w14:paraId="74AE6F7F" w14:textId="77777777" w:rsidR="008022EC" w:rsidRPr="00732EC9" w:rsidRDefault="00D66C03" w:rsidP="002D34FC">
      <w:pPr>
        <w:pStyle w:val="Nvel1-SemNum"/>
        <w:spacing w:before="0"/>
        <w:ind w:left="0" w:right="-1"/>
        <w:rPr>
          <w:color w:val="auto"/>
          <w:sz w:val="24"/>
          <w:szCs w:val="24"/>
          <w:lang w:eastAsia="zh-CN" w:bidi="hi-IN"/>
        </w:rPr>
      </w:pPr>
      <w:bookmarkStart w:id="11" w:name="_Toc147911333"/>
      <w:r w:rsidRPr="00732EC9">
        <w:rPr>
          <w:color w:val="auto"/>
          <w:sz w:val="24"/>
          <w:szCs w:val="24"/>
          <w:lang w:eastAsia="zh-CN" w:bidi="hi-IN"/>
        </w:rPr>
        <w:t>Qualificação Técnica</w:t>
      </w:r>
      <w:bookmarkEnd w:id="11"/>
    </w:p>
    <w:p w14:paraId="62F85259" w14:textId="77777777" w:rsidR="00D66C03" w:rsidRPr="0017218D" w:rsidRDefault="00D66C03" w:rsidP="002D34FC">
      <w:pPr>
        <w:pStyle w:val="Nvel2-Red"/>
        <w:spacing w:before="0" w:after="0" w:line="240" w:lineRule="auto"/>
        <w:ind w:left="0" w:right="-1" w:firstLine="0"/>
        <w:rPr>
          <w:i w:val="0"/>
          <w:iCs w:val="0"/>
          <w:color w:val="auto"/>
          <w:sz w:val="24"/>
          <w:szCs w:val="24"/>
        </w:rPr>
      </w:pPr>
      <w:r w:rsidRPr="0017218D">
        <w:rPr>
          <w:i w:val="0"/>
          <w:iCs w:val="0"/>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w:t>
      </w:r>
      <w:r w:rsidR="00783BCC">
        <w:rPr>
          <w:i w:val="0"/>
          <w:iCs w:val="0"/>
          <w:color w:val="auto"/>
          <w:sz w:val="24"/>
          <w:szCs w:val="24"/>
        </w:rPr>
        <w:t xml:space="preserve"> </w:t>
      </w:r>
      <w:r w:rsidRPr="0017218D">
        <w:rPr>
          <w:i w:val="0"/>
          <w:iCs w:val="0"/>
          <w:color w:val="auto"/>
          <w:sz w:val="24"/>
          <w:szCs w:val="24"/>
        </w:rPr>
        <w:t>(s) pelo conselho profissional competente, quando for o caso.</w:t>
      </w:r>
    </w:p>
    <w:p w14:paraId="6B7BF9DE" w14:textId="77777777" w:rsidR="00D66C03" w:rsidRPr="0017218D" w:rsidRDefault="00D66C03" w:rsidP="002D34FC">
      <w:pPr>
        <w:pStyle w:val="Nvel3-R"/>
        <w:spacing w:before="0" w:after="0" w:line="240" w:lineRule="auto"/>
        <w:ind w:left="0" w:right="-1" w:firstLine="0"/>
        <w:rPr>
          <w:i w:val="0"/>
          <w:iCs w:val="0"/>
          <w:color w:val="auto"/>
          <w:sz w:val="24"/>
          <w:szCs w:val="24"/>
        </w:rPr>
      </w:pPr>
      <w:r w:rsidRPr="0017218D">
        <w:rPr>
          <w:i w:val="0"/>
          <w:iCs w:val="0"/>
          <w:color w:val="auto"/>
          <w:sz w:val="24"/>
          <w:szCs w:val="24"/>
        </w:rPr>
        <w:t>Será admitida, para fins de comprovação de quantitativo mínimo, a apresentação e o somatório de diferentes atestados executados de forma concomitante.</w:t>
      </w:r>
    </w:p>
    <w:p w14:paraId="0E2DBC2D" w14:textId="77777777" w:rsidR="00D66C03" w:rsidRPr="0017218D" w:rsidRDefault="00D66C03" w:rsidP="002D34FC">
      <w:pPr>
        <w:pStyle w:val="Nvel3-R"/>
        <w:spacing w:before="0" w:after="0" w:line="240" w:lineRule="auto"/>
        <w:ind w:left="0" w:right="-1" w:firstLine="0"/>
        <w:rPr>
          <w:i w:val="0"/>
          <w:iCs w:val="0"/>
          <w:color w:val="auto"/>
          <w:sz w:val="24"/>
          <w:szCs w:val="24"/>
          <w:shd w:val="clear" w:color="auto" w:fill="FFFF00"/>
        </w:rPr>
      </w:pPr>
      <w:r w:rsidRPr="0017218D">
        <w:rPr>
          <w:i w:val="0"/>
          <w:iCs w:val="0"/>
          <w:color w:val="auto"/>
          <w:sz w:val="24"/>
          <w:szCs w:val="24"/>
        </w:rPr>
        <w:t>Os atestados de capacidade técnica poderão ser apresentados em nome da matriz ou da filial do fornecedor.</w:t>
      </w:r>
    </w:p>
    <w:p w14:paraId="0B98CE03" w14:textId="77777777" w:rsidR="00D66C03" w:rsidRPr="0017218D" w:rsidRDefault="00D66C03" w:rsidP="002D34FC">
      <w:pPr>
        <w:pStyle w:val="Nvel3-R"/>
        <w:spacing w:before="0" w:after="0" w:line="240" w:lineRule="auto"/>
        <w:ind w:left="0" w:right="-1" w:firstLine="0"/>
        <w:rPr>
          <w:i w:val="0"/>
          <w:iCs w:val="0"/>
          <w:color w:val="auto"/>
          <w:sz w:val="24"/>
          <w:szCs w:val="24"/>
        </w:rPr>
      </w:pPr>
      <w:r w:rsidRPr="0017218D">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23FD65" w14:textId="77777777" w:rsidR="00D66C03" w:rsidRPr="0017218D" w:rsidRDefault="00D66C03" w:rsidP="002D34FC">
      <w:pPr>
        <w:pStyle w:val="Nivel2"/>
        <w:spacing w:before="0" w:after="0" w:line="240" w:lineRule="auto"/>
        <w:ind w:left="0" w:right="-1" w:firstLine="0"/>
        <w:rPr>
          <w:sz w:val="24"/>
          <w:szCs w:val="24"/>
        </w:rPr>
      </w:pPr>
      <w:r w:rsidRPr="0017218D">
        <w:rPr>
          <w:sz w:val="24"/>
          <w:szCs w:val="24"/>
        </w:rPr>
        <w:t>Caso admitida a participação de cooperativas, será exigida a seguinte documentação complementar:</w:t>
      </w:r>
    </w:p>
    <w:p w14:paraId="7FBCB6EC" w14:textId="77777777" w:rsidR="00D66C03" w:rsidRPr="00732EC9" w:rsidRDefault="00D66C03" w:rsidP="002D34FC">
      <w:pPr>
        <w:pStyle w:val="Nivel3"/>
        <w:spacing w:before="0" w:after="0" w:line="240" w:lineRule="auto"/>
        <w:ind w:left="0" w:right="-1" w:firstLine="0"/>
        <w:rPr>
          <w:sz w:val="24"/>
          <w:szCs w:val="24"/>
        </w:rPr>
      </w:pPr>
      <w:r w:rsidRPr="0017218D">
        <w:rPr>
          <w:sz w:val="24"/>
          <w:szCs w:val="24"/>
        </w:rPr>
        <w:t>A relação dos cooperados que atendem aos requisitos técnicos exigidos para a contratação e que executarão o contrato, com as respectivas atas de inscrição e a</w:t>
      </w:r>
      <w:r w:rsidRPr="00732EC9">
        <w:rPr>
          <w:sz w:val="24"/>
          <w:szCs w:val="24"/>
        </w:rPr>
        <w:t xml:space="preserve"> comprovação de que estão domiciliados na localidade da sede da cooperativa, respeitado o disposto nos </w:t>
      </w:r>
      <w:hyperlink r:id="rId18" w:anchor="art4" w:history="1">
        <w:r w:rsidRPr="00732EC9">
          <w:rPr>
            <w:rStyle w:val="Hyperlink"/>
            <w:sz w:val="24"/>
            <w:szCs w:val="24"/>
          </w:rPr>
          <w:t>arts. 4º, inciso XI, 21, inciso I</w:t>
        </w:r>
      </w:hyperlink>
      <w:r w:rsidRPr="00732EC9">
        <w:rPr>
          <w:sz w:val="24"/>
          <w:szCs w:val="24"/>
        </w:rPr>
        <w:t xml:space="preserve"> e </w:t>
      </w:r>
      <w:hyperlink r:id="rId19" w:anchor="art42" w:history="1">
        <w:r w:rsidRPr="00732EC9">
          <w:rPr>
            <w:rStyle w:val="Hyperlink"/>
            <w:sz w:val="24"/>
            <w:szCs w:val="24"/>
          </w:rPr>
          <w:t>42, §§2º a 6º da Lei n. 5.764, de 1971</w:t>
        </w:r>
      </w:hyperlink>
      <w:r w:rsidRPr="00732EC9">
        <w:rPr>
          <w:sz w:val="24"/>
          <w:szCs w:val="24"/>
        </w:rPr>
        <w:t>;</w:t>
      </w:r>
    </w:p>
    <w:p w14:paraId="05C27486"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A declaração de regularidade de situação do contribuinte individual – DRSCI, para cada um dos cooperados indicados;</w:t>
      </w:r>
    </w:p>
    <w:p w14:paraId="0FFCF30D"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A comprovação do capital social proporcional ao número de cooperados necessários à prestação do serviço; </w:t>
      </w:r>
    </w:p>
    <w:p w14:paraId="7605004D"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O registro previsto na </w:t>
      </w:r>
      <w:hyperlink r:id="rId20" w:anchor="art107" w:history="1">
        <w:r w:rsidRPr="00732EC9">
          <w:rPr>
            <w:rStyle w:val="Hyperlink"/>
            <w:sz w:val="24"/>
            <w:szCs w:val="24"/>
          </w:rPr>
          <w:t>Lei n. 5.764, de 1971, art. 107</w:t>
        </w:r>
      </w:hyperlink>
      <w:r w:rsidRPr="00732EC9">
        <w:rPr>
          <w:sz w:val="24"/>
          <w:szCs w:val="24"/>
        </w:rPr>
        <w:t>;</w:t>
      </w:r>
    </w:p>
    <w:p w14:paraId="38E98E39"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 A comprovação de integração das respectivas quotas-partes por parte dos cooperados que executarão o contrato; e</w:t>
      </w:r>
    </w:p>
    <w:p w14:paraId="7301EB1C"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BA5792D"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A última auditoria contábil-financeira da cooperativa, conforme dispõe o </w:t>
      </w:r>
      <w:hyperlink r:id="rId21" w:anchor="art112" w:history="1">
        <w:r w:rsidRPr="00732EC9">
          <w:rPr>
            <w:rStyle w:val="Hyperlink"/>
            <w:sz w:val="24"/>
            <w:szCs w:val="24"/>
          </w:rPr>
          <w:t>art. 112 da Lei n. 5.764, de 1971</w:t>
        </w:r>
      </w:hyperlink>
      <w:r w:rsidRPr="00732EC9">
        <w:rPr>
          <w:sz w:val="24"/>
          <w:szCs w:val="24"/>
        </w:rPr>
        <w:t>, ou uma declaração, sob as penas da lei, de que tal auditoria não foi exigida pelo órgão fiscalizador.</w:t>
      </w:r>
    </w:p>
    <w:p w14:paraId="06266B53" w14:textId="77777777" w:rsidR="00D66C03" w:rsidRPr="00732EC9" w:rsidRDefault="00D66C03" w:rsidP="002D34FC">
      <w:pPr>
        <w:pStyle w:val="Nivel3"/>
        <w:numPr>
          <w:ilvl w:val="0"/>
          <w:numId w:val="0"/>
        </w:numPr>
        <w:spacing w:before="0" w:after="0" w:line="240" w:lineRule="auto"/>
        <w:ind w:right="-1"/>
        <w:rPr>
          <w:sz w:val="24"/>
          <w:szCs w:val="24"/>
        </w:rPr>
      </w:pPr>
    </w:p>
    <w:p w14:paraId="0AEFF691" w14:textId="77777777" w:rsidR="00D66C03" w:rsidRPr="00732EC9" w:rsidRDefault="00D66C03" w:rsidP="002D34FC">
      <w:pPr>
        <w:pStyle w:val="Nivel01"/>
        <w:spacing w:before="0"/>
        <w:ind w:left="0" w:right="-1" w:firstLine="0"/>
        <w:jc w:val="left"/>
        <w:rPr>
          <w:sz w:val="24"/>
          <w:szCs w:val="24"/>
        </w:rPr>
      </w:pPr>
      <w:bookmarkStart w:id="12" w:name="_Toc147911334"/>
      <w:r w:rsidRPr="00732EC9">
        <w:rPr>
          <w:sz w:val="24"/>
          <w:szCs w:val="24"/>
        </w:rPr>
        <w:t>ESTIMATIVAS DO VALOR DA CONTRATAÇÃO</w:t>
      </w:r>
      <w:bookmarkEnd w:id="12"/>
    </w:p>
    <w:p w14:paraId="32D2E0FC" w14:textId="77777777" w:rsidR="00D66C03" w:rsidRPr="0017218D" w:rsidRDefault="00D66C03" w:rsidP="002D34FC">
      <w:pPr>
        <w:ind w:right="-1"/>
        <w:rPr>
          <w:rFonts w:ascii="Arial" w:hAnsi="Arial" w:cs="Arial"/>
        </w:rPr>
      </w:pPr>
    </w:p>
    <w:p w14:paraId="5F0DE1E3" w14:textId="2BC4DB3E" w:rsidR="00D66C03" w:rsidRPr="008022EC" w:rsidRDefault="00D66C03" w:rsidP="002D34FC">
      <w:pPr>
        <w:pStyle w:val="Nvel2-Red"/>
        <w:spacing w:before="0" w:after="0" w:line="240" w:lineRule="auto"/>
        <w:ind w:left="0" w:right="-1" w:firstLine="0"/>
        <w:rPr>
          <w:b/>
          <w:bCs/>
          <w:i w:val="0"/>
          <w:iCs w:val="0"/>
          <w:color w:val="auto"/>
          <w:sz w:val="24"/>
          <w:szCs w:val="24"/>
        </w:rPr>
      </w:pPr>
      <w:r w:rsidRPr="008022EC">
        <w:rPr>
          <w:i w:val="0"/>
          <w:iCs w:val="0"/>
          <w:color w:val="auto"/>
          <w:sz w:val="24"/>
          <w:szCs w:val="24"/>
        </w:rPr>
        <w:t>O custo estimado total da contratação é de R$</w:t>
      </w:r>
      <w:r w:rsidR="008022EC" w:rsidRPr="008022EC">
        <w:rPr>
          <w:i w:val="0"/>
          <w:iCs w:val="0"/>
          <w:color w:val="auto"/>
          <w:sz w:val="24"/>
          <w:szCs w:val="24"/>
        </w:rPr>
        <w:t xml:space="preserve"> 100.</w:t>
      </w:r>
      <w:r w:rsidR="00E611E0">
        <w:rPr>
          <w:i w:val="0"/>
          <w:iCs w:val="0"/>
          <w:color w:val="auto"/>
          <w:sz w:val="24"/>
          <w:szCs w:val="24"/>
        </w:rPr>
        <w:t>046,05</w:t>
      </w:r>
      <w:r w:rsidRPr="008022EC">
        <w:rPr>
          <w:i w:val="0"/>
          <w:iCs w:val="0"/>
          <w:color w:val="auto"/>
          <w:sz w:val="24"/>
          <w:szCs w:val="24"/>
        </w:rPr>
        <w:t>, conforme custos unitários apostos na tabela acima.</w:t>
      </w:r>
    </w:p>
    <w:p w14:paraId="329FA01A" w14:textId="77777777" w:rsidR="00D66C03" w:rsidRPr="008022EC" w:rsidRDefault="00D66C03" w:rsidP="002D34FC">
      <w:pPr>
        <w:pStyle w:val="Nvel2-Red"/>
        <w:numPr>
          <w:ilvl w:val="0"/>
          <w:numId w:val="0"/>
        </w:numPr>
        <w:spacing w:before="0" w:after="0" w:line="240" w:lineRule="auto"/>
        <w:ind w:right="-1"/>
        <w:rPr>
          <w:b/>
          <w:bCs/>
          <w:color w:val="auto"/>
          <w:sz w:val="24"/>
          <w:szCs w:val="24"/>
        </w:rPr>
      </w:pPr>
    </w:p>
    <w:p w14:paraId="30CDC8BB" w14:textId="77777777" w:rsidR="00D66C03" w:rsidRPr="008022EC" w:rsidRDefault="00D66C03" w:rsidP="002D34FC">
      <w:pPr>
        <w:pStyle w:val="Nivel01"/>
        <w:spacing w:before="0"/>
        <w:ind w:left="0" w:right="-1" w:firstLine="0"/>
        <w:jc w:val="left"/>
        <w:rPr>
          <w:sz w:val="24"/>
          <w:szCs w:val="24"/>
        </w:rPr>
      </w:pPr>
      <w:bookmarkStart w:id="13" w:name="_Toc147911335"/>
      <w:r w:rsidRPr="008022EC">
        <w:rPr>
          <w:sz w:val="24"/>
          <w:szCs w:val="24"/>
        </w:rPr>
        <w:t>ADEQUAÇÃO ORÇAMENTÁRIA</w:t>
      </w:r>
      <w:bookmarkEnd w:id="13"/>
    </w:p>
    <w:p w14:paraId="619A8C1E" w14:textId="77777777" w:rsidR="00D66C03" w:rsidRPr="008022EC" w:rsidRDefault="00D66C03" w:rsidP="002D34FC">
      <w:pPr>
        <w:ind w:right="-1"/>
        <w:rPr>
          <w:rFonts w:ascii="Arial" w:hAnsi="Arial" w:cs="Arial"/>
        </w:rPr>
      </w:pPr>
    </w:p>
    <w:p w14:paraId="00FE411B" w14:textId="77777777" w:rsidR="00D66C03" w:rsidRPr="008022EC" w:rsidRDefault="00D66C03" w:rsidP="002D34FC">
      <w:pPr>
        <w:pStyle w:val="Nivel2"/>
        <w:spacing w:before="0" w:after="0" w:line="240" w:lineRule="auto"/>
        <w:ind w:left="0" w:right="-1" w:firstLine="0"/>
        <w:rPr>
          <w:color w:val="auto"/>
          <w:sz w:val="24"/>
          <w:szCs w:val="24"/>
        </w:rPr>
      </w:pPr>
      <w:r w:rsidRPr="008022EC">
        <w:rPr>
          <w:rFonts w:eastAsia="Arial"/>
          <w:color w:val="auto"/>
          <w:sz w:val="24"/>
          <w:szCs w:val="24"/>
        </w:rPr>
        <w:t>As despesas decorrentes da presente contratação correrão à conta de recursos específicos consignados no Orçamento Geral.</w:t>
      </w:r>
    </w:p>
    <w:p w14:paraId="351452FF" w14:textId="77777777" w:rsidR="00D66C03" w:rsidRPr="008022EC" w:rsidRDefault="00D66C03" w:rsidP="002D34FC">
      <w:pPr>
        <w:pStyle w:val="Nvel2-Red"/>
        <w:tabs>
          <w:tab w:val="left" w:pos="567"/>
        </w:tabs>
        <w:spacing w:before="0" w:after="0" w:line="240" w:lineRule="auto"/>
        <w:ind w:left="0" w:right="-1" w:firstLine="0"/>
        <w:rPr>
          <w:i w:val="0"/>
          <w:iCs w:val="0"/>
          <w:color w:val="auto"/>
          <w:sz w:val="24"/>
          <w:szCs w:val="24"/>
        </w:rPr>
      </w:pPr>
      <w:r w:rsidRPr="008022EC">
        <w:rPr>
          <w:i w:val="0"/>
          <w:iCs w:val="0"/>
          <w:color w:val="auto"/>
          <w:sz w:val="24"/>
          <w:szCs w:val="24"/>
        </w:rPr>
        <w:t>A dotação relativa aos exercícios financeiros subsequentes será indicada após aprovação da Lei Orçamentária respectiva e liberação dos créditos correspondentes, mediante apostilamento.</w:t>
      </w:r>
      <w:bookmarkEnd w:id="1"/>
    </w:p>
    <w:p w14:paraId="67C0BE3A" w14:textId="77777777" w:rsidR="004D3EE7" w:rsidRPr="008022EC" w:rsidRDefault="004D3EE7" w:rsidP="002D34FC">
      <w:pPr>
        <w:ind w:right="-1"/>
      </w:pPr>
    </w:p>
    <w:p w14:paraId="684EA83F" w14:textId="06208148" w:rsidR="007A15F3" w:rsidRPr="008022EC" w:rsidRDefault="007A15F3" w:rsidP="007A15F3">
      <w:pPr>
        <w:tabs>
          <w:tab w:val="left" w:pos="567"/>
        </w:tabs>
        <w:jc w:val="right"/>
        <w:rPr>
          <w:rFonts w:ascii="Arial" w:eastAsia="MS Mincho" w:hAnsi="Arial" w:cs="Arial"/>
        </w:rPr>
      </w:pPr>
      <w:r w:rsidRPr="008022EC">
        <w:rPr>
          <w:rFonts w:ascii="Arial" w:eastAsia="MS Mincho" w:hAnsi="Arial" w:cs="Arial"/>
        </w:rPr>
        <w:t xml:space="preserve">Bom Retiro, </w:t>
      </w:r>
      <w:r w:rsidR="007A1B9A">
        <w:rPr>
          <w:rFonts w:ascii="Arial" w:eastAsia="MS Mincho" w:hAnsi="Arial" w:cs="Arial"/>
        </w:rPr>
        <w:t>24</w:t>
      </w:r>
      <w:r w:rsidRPr="008022EC">
        <w:rPr>
          <w:rFonts w:ascii="Arial" w:eastAsia="MS Mincho" w:hAnsi="Arial" w:cs="Arial"/>
        </w:rPr>
        <w:t xml:space="preserve"> de </w:t>
      </w:r>
      <w:r w:rsidR="008022EC" w:rsidRPr="008022EC">
        <w:rPr>
          <w:rFonts w:ascii="Arial" w:eastAsia="MS Mincho" w:hAnsi="Arial" w:cs="Arial"/>
        </w:rPr>
        <w:t>outubro</w:t>
      </w:r>
      <w:r w:rsidRPr="008022EC">
        <w:rPr>
          <w:rFonts w:ascii="Arial" w:eastAsia="MS Mincho" w:hAnsi="Arial" w:cs="Arial"/>
        </w:rPr>
        <w:t xml:space="preserve"> de 2024.</w:t>
      </w:r>
    </w:p>
    <w:p w14:paraId="2C997412" w14:textId="77777777" w:rsidR="007A15F3" w:rsidRPr="00732EC9" w:rsidRDefault="007A15F3" w:rsidP="007A15F3">
      <w:pPr>
        <w:tabs>
          <w:tab w:val="left" w:pos="567"/>
        </w:tabs>
        <w:jc w:val="center"/>
        <w:rPr>
          <w:rFonts w:ascii="Arial" w:eastAsia="MS Mincho" w:hAnsi="Arial" w:cs="Arial"/>
          <w:b/>
        </w:rPr>
      </w:pPr>
    </w:p>
    <w:p w14:paraId="1606A1B2" w14:textId="77777777" w:rsidR="007A15F3" w:rsidRPr="00732EC9" w:rsidRDefault="007A15F3" w:rsidP="007A15F3">
      <w:pPr>
        <w:tabs>
          <w:tab w:val="left" w:pos="567"/>
        </w:tabs>
        <w:jc w:val="center"/>
        <w:rPr>
          <w:rFonts w:ascii="Arial" w:eastAsia="MS Mincho" w:hAnsi="Arial" w:cs="Arial"/>
          <w:b/>
        </w:rPr>
      </w:pPr>
    </w:p>
    <w:p w14:paraId="1775E443" w14:textId="77777777" w:rsidR="007A15F3" w:rsidRPr="00732EC9" w:rsidRDefault="007A15F3" w:rsidP="007A15F3">
      <w:pPr>
        <w:tabs>
          <w:tab w:val="left" w:pos="567"/>
        </w:tabs>
        <w:jc w:val="center"/>
        <w:rPr>
          <w:rFonts w:ascii="Arial" w:eastAsia="MS Mincho" w:hAnsi="Arial" w:cs="Arial"/>
          <w:b/>
        </w:rPr>
      </w:pPr>
    </w:p>
    <w:p w14:paraId="20C29377"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Albino Gonçalves Padilha</w:t>
      </w:r>
    </w:p>
    <w:p w14:paraId="63A00DC0"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0E3C7092" w14:textId="77777777" w:rsidR="007A15F3" w:rsidRDefault="007A15F3" w:rsidP="002D34FC">
      <w:pPr>
        <w:ind w:right="-1"/>
      </w:pPr>
    </w:p>
    <w:sectPr w:rsidR="007A15F3">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1C41" w14:textId="77777777" w:rsidR="001727CC" w:rsidRDefault="001727CC" w:rsidP="00D66C03">
      <w:r>
        <w:separator/>
      </w:r>
    </w:p>
  </w:endnote>
  <w:endnote w:type="continuationSeparator" w:id="0">
    <w:p w14:paraId="4DD2018F" w14:textId="77777777" w:rsidR="001727CC" w:rsidRDefault="001727CC" w:rsidP="00D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077E" w14:textId="77777777" w:rsidR="00D66C03" w:rsidRDefault="00D66C03" w:rsidP="00D66C03">
    <w:pPr>
      <w:pStyle w:val="Rodap"/>
      <w:rPr>
        <w:rFonts w:ascii="Arial" w:hAnsi="Arial" w:cs="Arial"/>
        <w:i/>
        <w:iCs/>
        <w:sz w:val="20"/>
        <w:szCs w:val="20"/>
      </w:rPr>
    </w:pPr>
  </w:p>
  <w:p w14:paraId="16DD5108" w14:textId="77777777" w:rsidR="00D66C03" w:rsidRDefault="00D66C03" w:rsidP="00D66C03">
    <w:pPr>
      <w:pStyle w:val="Rodap"/>
      <w:rPr>
        <w:rFonts w:ascii="Arial" w:hAnsi="Arial" w:cs="Arial"/>
        <w:i/>
        <w:iCs/>
        <w:sz w:val="20"/>
        <w:szCs w:val="20"/>
      </w:rPr>
    </w:pPr>
    <w:r w:rsidRPr="00FC32B9">
      <w:rPr>
        <w:rFonts w:ascii="Arial" w:hAnsi="Arial" w:cs="Arial"/>
        <w:i/>
        <w:iCs/>
        <w:sz w:val="20"/>
        <w:szCs w:val="20"/>
      </w:rPr>
      <w:t>Prefeitura Municipal de Bom Retiro/SC</w:t>
    </w:r>
  </w:p>
  <w:p w14:paraId="437A54BB" w14:textId="77777777" w:rsidR="00D66C03" w:rsidRPr="00FC32B9" w:rsidRDefault="00D66C03" w:rsidP="00D66C03">
    <w:pPr>
      <w:pStyle w:val="Rodap"/>
      <w:rPr>
        <w:rFonts w:ascii="Arial" w:hAnsi="Arial" w:cs="Arial"/>
        <w:i/>
        <w:iCs/>
        <w:sz w:val="20"/>
        <w:szCs w:val="20"/>
      </w:rPr>
    </w:pPr>
    <w:r>
      <w:rPr>
        <w:rFonts w:ascii="Arial" w:hAnsi="Arial" w:cs="Arial"/>
        <w:i/>
        <w:iCs/>
        <w:sz w:val="20"/>
        <w:szCs w:val="20"/>
      </w:rPr>
      <w:t>CNPJ 82.777.343/0001-21</w:t>
    </w:r>
  </w:p>
  <w:p w14:paraId="471165F2"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0180D0DB"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Fone: 49 3277-0183</w:t>
    </w:r>
  </w:p>
  <w:p w14:paraId="45D9102A" w14:textId="77777777" w:rsidR="00D66C03" w:rsidRPr="00D66C03"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8A19" w14:textId="77777777" w:rsidR="001727CC" w:rsidRDefault="001727CC" w:rsidP="00D66C03">
      <w:r>
        <w:separator/>
      </w:r>
    </w:p>
  </w:footnote>
  <w:footnote w:type="continuationSeparator" w:id="0">
    <w:p w14:paraId="3C501DC5" w14:textId="77777777" w:rsidR="001727CC" w:rsidRDefault="001727CC" w:rsidP="00D6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ADE8" w14:textId="77777777" w:rsidR="00D66C03" w:rsidRDefault="00D66C03" w:rsidP="00D66C03">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399C1BCF" wp14:editId="34E3B45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4EB87AA4" w14:textId="77777777" w:rsidR="00D66C03" w:rsidRDefault="00D66C03" w:rsidP="00D66C03">
    <w:pPr>
      <w:tabs>
        <w:tab w:val="left" w:pos="9923"/>
      </w:tabs>
      <w:spacing w:line="290" w:lineRule="auto"/>
      <w:ind w:left="2591" w:right="2590"/>
      <w:jc w:val="center"/>
      <w:rPr>
        <w:b/>
        <w:color w:val="808080"/>
        <w:sz w:val="22"/>
      </w:rPr>
    </w:pPr>
  </w:p>
  <w:p w14:paraId="1645CBDC" w14:textId="77777777" w:rsidR="00D66C03" w:rsidRDefault="00D66C03" w:rsidP="00D66C03">
    <w:pPr>
      <w:tabs>
        <w:tab w:val="left" w:pos="9923"/>
      </w:tabs>
      <w:spacing w:line="290" w:lineRule="auto"/>
      <w:ind w:left="2591" w:right="2590"/>
      <w:jc w:val="center"/>
      <w:rPr>
        <w:b/>
        <w:color w:val="808080"/>
        <w:sz w:val="22"/>
      </w:rPr>
    </w:pPr>
  </w:p>
  <w:p w14:paraId="0EAA6814" w14:textId="77777777" w:rsidR="00D66C03" w:rsidRDefault="00D66C03" w:rsidP="00D66C03">
    <w:pPr>
      <w:tabs>
        <w:tab w:val="left" w:pos="9923"/>
      </w:tabs>
      <w:spacing w:line="290" w:lineRule="auto"/>
      <w:ind w:left="2591" w:right="2590"/>
      <w:jc w:val="center"/>
      <w:rPr>
        <w:b/>
        <w:color w:val="808080"/>
        <w:sz w:val="22"/>
      </w:rPr>
    </w:pPr>
  </w:p>
  <w:p w14:paraId="3A6780BC" w14:textId="77777777" w:rsidR="00D66C03" w:rsidRDefault="00D66C03" w:rsidP="00D66C03">
    <w:pPr>
      <w:tabs>
        <w:tab w:val="left" w:pos="9923"/>
      </w:tabs>
      <w:spacing w:line="290" w:lineRule="auto"/>
      <w:ind w:right="-29"/>
      <w:jc w:val="center"/>
      <w:rPr>
        <w:rFonts w:ascii="Arial" w:hAnsi="Arial" w:cs="Arial"/>
        <w:b/>
      </w:rPr>
    </w:pPr>
  </w:p>
  <w:p w14:paraId="2FC2925A" w14:textId="77777777" w:rsidR="00D66C03" w:rsidRPr="00FC32B9" w:rsidRDefault="00D66C03" w:rsidP="00D66C03">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5675494E" w14:textId="77777777" w:rsidR="00D66C03" w:rsidRDefault="00D66C03" w:rsidP="00D66C03">
    <w:pPr>
      <w:tabs>
        <w:tab w:val="left" w:pos="5529"/>
        <w:tab w:val="left" w:pos="9923"/>
      </w:tabs>
      <w:spacing w:line="290" w:lineRule="auto"/>
      <w:ind w:right="140"/>
      <w:jc w:val="center"/>
      <w:rPr>
        <w:rFonts w:ascii="Arial" w:hAnsi="Arial" w:cs="Arial"/>
        <w:b/>
      </w:rPr>
    </w:pPr>
    <w:r w:rsidRPr="00FC32B9">
      <w:rPr>
        <w:rFonts w:ascii="Arial" w:hAnsi="Arial" w:cs="Arial"/>
        <w:b/>
      </w:rPr>
      <w:t xml:space="preserve">ESTADO DE SANTA CATARINA </w:t>
    </w:r>
  </w:p>
  <w:p w14:paraId="6C8A2188" w14:textId="77777777" w:rsidR="00D66C03" w:rsidRDefault="00D6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 w15:restartNumberingAfterBreak="0">
    <w:nsid w:val="76613610"/>
    <w:multiLevelType w:val="hybridMultilevel"/>
    <w:tmpl w:val="1CE833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E2"/>
    <w:rsid w:val="00035E46"/>
    <w:rsid w:val="001727CC"/>
    <w:rsid w:val="001B5B12"/>
    <w:rsid w:val="002B2BD5"/>
    <w:rsid w:val="002D34FC"/>
    <w:rsid w:val="00357C59"/>
    <w:rsid w:val="004229F2"/>
    <w:rsid w:val="004D3EE7"/>
    <w:rsid w:val="00512B5B"/>
    <w:rsid w:val="005C7ECD"/>
    <w:rsid w:val="005E1B1C"/>
    <w:rsid w:val="00701EBF"/>
    <w:rsid w:val="00783BCC"/>
    <w:rsid w:val="007A15F3"/>
    <w:rsid w:val="007A1B9A"/>
    <w:rsid w:val="0080144D"/>
    <w:rsid w:val="008022EC"/>
    <w:rsid w:val="008601E2"/>
    <w:rsid w:val="00B26DF6"/>
    <w:rsid w:val="00D66C03"/>
    <w:rsid w:val="00E611E0"/>
    <w:rsid w:val="00FB3F98"/>
    <w:rsid w:val="00FC3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538B"/>
  <w15:chartTrackingRefBased/>
  <w15:docId w15:val="{AC1EDAD0-57A8-4F7C-A692-C4DF26D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C03"/>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D66C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66C03"/>
    <w:pPr>
      <w:ind w:left="720"/>
      <w:contextualSpacing/>
    </w:pPr>
  </w:style>
  <w:style w:type="character" w:styleId="Hyperlink">
    <w:name w:val="Hyperlink"/>
    <w:rsid w:val="00D66C03"/>
    <w:rPr>
      <w:color w:val="000080"/>
      <w:u w:val="single"/>
    </w:rPr>
  </w:style>
  <w:style w:type="paragraph" w:styleId="Textodecomentrio">
    <w:name w:val="annotation text"/>
    <w:basedOn w:val="Normal"/>
    <w:link w:val="TextodecomentrioChar"/>
    <w:uiPriority w:val="99"/>
    <w:unhideWhenUsed/>
    <w:qFormat/>
    <w:rsid w:val="00D66C03"/>
    <w:rPr>
      <w:sz w:val="20"/>
      <w:szCs w:val="20"/>
    </w:rPr>
  </w:style>
  <w:style w:type="character" w:customStyle="1" w:styleId="TextodecomentrioChar">
    <w:name w:val="Texto de comentário Char"/>
    <w:basedOn w:val="Fontepargpadro"/>
    <w:link w:val="Textodecomentrio"/>
    <w:uiPriority w:val="99"/>
    <w:qFormat/>
    <w:rsid w:val="00D66C03"/>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D66C03"/>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D66C03"/>
    <w:rPr>
      <w:rFonts w:ascii="Arial" w:eastAsiaTheme="majorEastAsia" w:hAnsi="Arial" w:cs="Arial"/>
      <w:b/>
      <w:bCs/>
      <w:sz w:val="20"/>
      <w:szCs w:val="20"/>
      <w:lang w:eastAsia="pt-BR"/>
    </w:rPr>
  </w:style>
  <w:style w:type="paragraph" w:customStyle="1" w:styleId="Nivel2">
    <w:name w:val="Nivel 2"/>
    <w:basedOn w:val="Normal"/>
    <w:link w:val="Nivel2Char"/>
    <w:qFormat/>
    <w:rsid w:val="00D66C03"/>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D66C0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qFormat/>
    <w:rsid w:val="00D66C03"/>
    <w:pPr>
      <w:numPr>
        <w:ilvl w:val="3"/>
      </w:numPr>
    </w:pPr>
    <w:rPr>
      <w:color w:val="auto"/>
    </w:rPr>
  </w:style>
  <w:style w:type="paragraph" w:customStyle="1" w:styleId="Nivel5">
    <w:name w:val="Nivel 5"/>
    <w:basedOn w:val="Nivel4"/>
    <w:qFormat/>
    <w:rsid w:val="00D66C03"/>
    <w:pPr>
      <w:numPr>
        <w:ilvl w:val="4"/>
      </w:numPr>
      <w:tabs>
        <w:tab w:val="num" w:pos="360"/>
      </w:tabs>
    </w:pPr>
  </w:style>
  <w:style w:type="character" w:customStyle="1" w:styleId="Nivel2Char">
    <w:name w:val="Nivel 2 Char"/>
    <w:basedOn w:val="Fontepargpadro"/>
    <w:link w:val="Nivel2"/>
    <w:locked/>
    <w:rsid w:val="00D66C0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D66C03"/>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D66C03"/>
    <w:rPr>
      <w:i/>
      <w:iCs/>
      <w:color w:val="FF0000"/>
    </w:rPr>
  </w:style>
  <w:style w:type="paragraph" w:customStyle="1" w:styleId="Nvel3-R">
    <w:name w:val="Nível 3-R"/>
    <w:basedOn w:val="Nivel3"/>
    <w:link w:val="Nvel3-RChar"/>
    <w:qFormat/>
    <w:rsid w:val="00D66C03"/>
    <w:rPr>
      <w:i/>
      <w:iCs/>
      <w:color w:val="FF0000"/>
    </w:rPr>
  </w:style>
  <w:style w:type="character" w:customStyle="1" w:styleId="Nvel2-RedChar">
    <w:name w:val="Nível 2 -Red Char"/>
    <w:basedOn w:val="Nivel2Char"/>
    <w:link w:val="Nvel2-Red"/>
    <w:rsid w:val="00D66C0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D66C03"/>
    <w:rPr>
      <w:i/>
      <w:iCs/>
      <w:color w:val="FF0000"/>
    </w:rPr>
  </w:style>
  <w:style w:type="character" w:customStyle="1" w:styleId="Nivel3Char">
    <w:name w:val="Nivel 3 Char"/>
    <w:basedOn w:val="Fontepargpadro"/>
    <w:link w:val="Nivel3"/>
    <w:rsid w:val="00D66C0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66C0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66C03"/>
    <w:pPr>
      <w:numPr>
        <w:numId w:val="0"/>
      </w:numPr>
      <w:ind w:left="357"/>
      <w:outlineLvl w:val="1"/>
    </w:pPr>
    <w:rPr>
      <w:color w:val="FF0000"/>
    </w:rPr>
  </w:style>
  <w:style w:type="character" w:customStyle="1" w:styleId="Nvel4-RChar">
    <w:name w:val="Nível 4-R Char"/>
    <w:basedOn w:val="Fontepargpadro"/>
    <w:link w:val="Nvel4-R"/>
    <w:rsid w:val="00D66C03"/>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D66C03"/>
    <w:rPr>
      <w:rFonts w:ascii="Arial" w:eastAsiaTheme="majorEastAsia" w:hAnsi="Arial" w:cs="Arial"/>
      <w:b/>
      <w:bCs/>
      <w:color w:val="FF0000"/>
      <w:sz w:val="20"/>
      <w:szCs w:val="20"/>
      <w:lang w:eastAsia="pt-BR"/>
    </w:rPr>
  </w:style>
  <w:style w:type="table" w:customStyle="1" w:styleId="Tabelacomgrade1">
    <w:name w:val="Tabela com grade1"/>
    <w:basedOn w:val="Tabelanormal"/>
    <w:next w:val="Tabelacomgrade"/>
    <w:uiPriority w:val="39"/>
    <w:rsid w:val="00D66C03"/>
    <w:pPr>
      <w:spacing w:after="0" w:line="240" w:lineRule="auto"/>
    </w:pPr>
    <w:rPr>
      <w:rFonts w:ascii="Calibri" w:eastAsiaTheme="minorEastAsia"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66C03"/>
    <w:rPr>
      <w:rFonts w:asciiTheme="majorHAnsi" w:eastAsiaTheme="majorEastAsia" w:hAnsiTheme="majorHAnsi" w:cstheme="majorBidi"/>
      <w:color w:val="2E74B5" w:themeColor="accent1" w:themeShade="BF"/>
      <w:sz w:val="32"/>
      <w:szCs w:val="32"/>
      <w:lang w:eastAsia="pt-BR"/>
    </w:rPr>
  </w:style>
  <w:style w:type="table" w:styleId="Tabelacomgrade">
    <w:name w:val="Table Grid"/>
    <w:basedOn w:val="Tabelanormal"/>
    <w:uiPriority w:val="39"/>
    <w:rsid w:val="00D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66C03"/>
    <w:pPr>
      <w:tabs>
        <w:tab w:val="center" w:pos="4252"/>
        <w:tab w:val="right" w:pos="8504"/>
      </w:tabs>
    </w:pPr>
  </w:style>
  <w:style w:type="character" w:customStyle="1" w:styleId="CabealhoChar">
    <w:name w:val="Cabeçalho Char"/>
    <w:basedOn w:val="Fontepargpadro"/>
    <w:link w:val="Cabealho"/>
    <w:uiPriority w:val="99"/>
    <w:rsid w:val="00D66C0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D66C03"/>
    <w:pPr>
      <w:tabs>
        <w:tab w:val="center" w:pos="4252"/>
        <w:tab w:val="right" w:pos="8504"/>
      </w:tabs>
    </w:pPr>
  </w:style>
  <w:style w:type="character" w:customStyle="1" w:styleId="RodapChar">
    <w:name w:val="Rodapé Char"/>
    <w:basedOn w:val="Fontepargpadro"/>
    <w:link w:val="Rodap"/>
    <w:uiPriority w:val="99"/>
    <w:qFormat/>
    <w:rsid w:val="00D66C03"/>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yperlink" Target="https://www.planalto.gov.br/ccivil_03/leis/l5764.htm" TargetMode="External"/><Relationship Id="rId3" Type="http://schemas.openxmlformats.org/officeDocument/2006/relationships/settings" Target="settings.xml"/><Relationship Id="rId21" Type="http://schemas.openxmlformats.org/officeDocument/2006/relationships/hyperlink" Target="https://www.planalto.gov.br/ccivil_03/leis/l5764.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23"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decreto/d10880.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4695</Words>
  <Characters>25357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Verlani .</cp:lastModifiedBy>
  <cp:revision>13</cp:revision>
  <dcterms:created xsi:type="dcterms:W3CDTF">2024-07-15T14:27:00Z</dcterms:created>
  <dcterms:modified xsi:type="dcterms:W3CDTF">2024-10-25T13:48:00Z</dcterms:modified>
</cp:coreProperties>
</file>